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26" w:rsidRDefault="00507F26" w:rsidP="00935C98">
      <w:pPr>
        <w:spacing w:before="120"/>
        <w:jc w:val="center"/>
        <w:rPr>
          <w:b/>
          <w:sz w:val="28"/>
          <w:szCs w:val="28"/>
          <w:lang w:val="en-GB"/>
        </w:rPr>
      </w:pPr>
      <w:r w:rsidRPr="00507F26">
        <w:rPr>
          <w:b/>
          <w:sz w:val="28"/>
          <w:szCs w:val="28"/>
          <w:lang w:val="en-GB"/>
        </w:rPr>
        <w:t xml:space="preserve">OPS Master Plan for Spanish Ports </w:t>
      </w:r>
      <w:r>
        <w:rPr>
          <w:b/>
          <w:sz w:val="28"/>
          <w:szCs w:val="28"/>
          <w:lang w:val="en-GB"/>
        </w:rPr>
        <w:t>p</w:t>
      </w:r>
      <w:r w:rsidRPr="00507F26">
        <w:rPr>
          <w:b/>
          <w:sz w:val="28"/>
          <w:szCs w:val="28"/>
          <w:lang w:val="en-GB"/>
        </w:rPr>
        <w:t xml:space="preserve">roject </w:t>
      </w:r>
    </w:p>
    <w:p w:rsidR="00507F26" w:rsidRPr="008D26E8" w:rsidRDefault="00507F26" w:rsidP="00935C98">
      <w:pPr>
        <w:spacing w:before="120"/>
        <w:jc w:val="center"/>
        <w:rPr>
          <w:b/>
          <w:lang w:val="en-GB"/>
        </w:rPr>
      </w:pPr>
      <w:r w:rsidRPr="008D26E8">
        <w:rPr>
          <w:b/>
          <w:lang w:val="en-GB"/>
        </w:rPr>
        <w:t>2015-EU-TM-0417</w:t>
      </w:r>
    </w:p>
    <w:p w:rsidR="00507F26" w:rsidRPr="00507F26" w:rsidRDefault="003E0FB9" w:rsidP="00935C98">
      <w:pPr>
        <w:spacing w:before="120"/>
        <w:jc w:val="center"/>
        <w:rPr>
          <w:b/>
          <w:lang w:val="en-GB"/>
        </w:rPr>
      </w:pPr>
      <w:r>
        <w:rPr>
          <w:b/>
          <w:lang w:val="en-GB"/>
        </w:rPr>
        <w:t>Project c</w:t>
      </w:r>
      <w:r w:rsidR="00507F26" w:rsidRPr="00507F26">
        <w:rPr>
          <w:b/>
          <w:lang w:val="en-GB"/>
        </w:rPr>
        <w:t xml:space="preserve">o-financed by </w:t>
      </w:r>
      <w:r w:rsidR="00D57923" w:rsidRPr="00507F26">
        <w:rPr>
          <w:b/>
          <w:lang w:val="en-GB"/>
        </w:rPr>
        <w:t>Connecting</w:t>
      </w:r>
      <w:r w:rsidR="00507F26" w:rsidRPr="00507F26">
        <w:rPr>
          <w:b/>
          <w:lang w:val="en-GB"/>
        </w:rPr>
        <w:t xml:space="preserve"> Europe Facility </w:t>
      </w:r>
      <w:r w:rsidR="00D57923">
        <w:rPr>
          <w:b/>
          <w:lang w:val="en-GB"/>
        </w:rPr>
        <w:t>(</w:t>
      </w:r>
      <w:r w:rsidR="00507F26" w:rsidRPr="00507F26">
        <w:rPr>
          <w:b/>
          <w:lang w:val="en-GB"/>
        </w:rPr>
        <w:t>CEF</w:t>
      </w:r>
      <w:r w:rsidR="00D57923">
        <w:rPr>
          <w:b/>
          <w:lang w:val="en-GB"/>
        </w:rPr>
        <w:t>)</w:t>
      </w:r>
    </w:p>
    <w:p w:rsidR="00507F26" w:rsidRPr="00507F26" w:rsidRDefault="00507F26" w:rsidP="00935C98">
      <w:pPr>
        <w:spacing w:before="120"/>
        <w:jc w:val="center"/>
        <w:rPr>
          <w:lang w:val="en-GB"/>
        </w:rPr>
      </w:pPr>
    </w:p>
    <w:p w:rsidR="00D57923" w:rsidRDefault="00D57923" w:rsidP="00072695">
      <w:pPr>
        <w:spacing w:before="120" w:after="120"/>
        <w:ind w:right="142"/>
        <w:jc w:val="both"/>
        <w:rPr>
          <w:lang w:val="en-GB"/>
        </w:rPr>
      </w:pPr>
      <w:r>
        <w:rPr>
          <w:lang w:val="en-GB"/>
        </w:rPr>
        <w:t>The</w:t>
      </w:r>
      <w:r w:rsidR="003F75A5">
        <w:rPr>
          <w:lang w:val="en-GB"/>
        </w:rPr>
        <w:t xml:space="preserve"> P</w:t>
      </w:r>
      <w:r w:rsidR="00507F26" w:rsidRPr="00507F26">
        <w:rPr>
          <w:lang w:val="en-GB"/>
        </w:rPr>
        <w:t xml:space="preserve">roject aims at drafting a </w:t>
      </w:r>
      <w:r w:rsidR="003F75A5">
        <w:rPr>
          <w:lang w:val="en-GB"/>
        </w:rPr>
        <w:t xml:space="preserve">2025 </w:t>
      </w:r>
      <w:r w:rsidR="00507F26" w:rsidRPr="00507F26">
        <w:rPr>
          <w:lang w:val="en-GB"/>
        </w:rPr>
        <w:t xml:space="preserve">Master Plan for the supply of electric power to </w:t>
      </w:r>
      <w:r w:rsidR="00935C98">
        <w:rPr>
          <w:lang w:val="en-GB"/>
        </w:rPr>
        <w:t>ships at berth in Spanish Ports</w:t>
      </w:r>
      <w:r>
        <w:rPr>
          <w:lang w:val="en-GB"/>
        </w:rPr>
        <w:t xml:space="preserve"> </w:t>
      </w:r>
      <w:r w:rsidR="00072695">
        <w:rPr>
          <w:lang w:val="en-GB"/>
        </w:rPr>
        <w:t>as a</w:t>
      </w:r>
      <w:r w:rsidRPr="00D57923">
        <w:rPr>
          <w:lang w:val="en-GB"/>
        </w:rPr>
        <w:t xml:space="preserve"> part of the National Action Framework for the development of infrastructures for the use of alternative fuels in the transport sector, in compliance with Article 13 of Directive 2014/94 EU. </w:t>
      </w:r>
    </w:p>
    <w:tbl>
      <w:tblPr>
        <w:tblStyle w:val="Tablaconcuadrcul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935C98" w:rsidRPr="009B3CC0" w:rsidTr="00072695">
        <w:trPr>
          <w:trHeight w:val="697"/>
        </w:trPr>
        <w:tc>
          <w:tcPr>
            <w:tcW w:w="3119" w:type="dxa"/>
            <w:vAlign w:val="center"/>
          </w:tcPr>
          <w:p w:rsidR="00935C98" w:rsidRPr="00935C98" w:rsidRDefault="00935C98" w:rsidP="00055154">
            <w:pPr>
              <w:rPr>
                <w:b/>
                <w:sz w:val="20"/>
                <w:szCs w:val="20"/>
              </w:rPr>
            </w:pPr>
            <w:r w:rsidRPr="00935C98">
              <w:rPr>
                <w:b/>
                <w:sz w:val="20"/>
                <w:szCs w:val="20"/>
              </w:rPr>
              <w:t>Member States involved:</w:t>
            </w:r>
          </w:p>
          <w:p w:rsidR="00935C98" w:rsidRPr="00F8647D" w:rsidRDefault="00935C98" w:rsidP="00055154">
            <w:pPr>
              <w:ind w:left="176"/>
              <w:rPr>
                <w:sz w:val="20"/>
                <w:szCs w:val="20"/>
              </w:rPr>
            </w:pPr>
            <w:r w:rsidRPr="00F8647D">
              <w:rPr>
                <w:sz w:val="20"/>
                <w:szCs w:val="20"/>
              </w:rPr>
              <w:t>Spain</w:t>
            </w:r>
          </w:p>
        </w:tc>
        <w:tc>
          <w:tcPr>
            <w:tcW w:w="6662" w:type="dxa"/>
            <w:vMerge w:val="restart"/>
            <w:tcBorders>
              <w:top w:val="nil"/>
              <w:bottom w:val="nil"/>
              <w:right w:val="nil"/>
            </w:tcBorders>
          </w:tcPr>
          <w:p w:rsidR="00EB4A89" w:rsidRDefault="00EB4A89" w:rsidP="00072695">
            <w:pPr>
              <w:jc w:val="both"/>
              <w:rPr>
                <w:lang w:val="en-GB"/>
              </w:rPr>
            </w:pPr>
          </w:p>
          <w:p w:rsidR="00935C98" w:rsidRPr="00935C98" w:rsidRDefault="001833F5" w:rsidP="00072695">
            <w:pPr>
              <w:jc w:val="both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The </w:t>
            </w:r>
            <w:r w:rsidR="00935C98" w:rsidRPr="00935C98">
              <w:rPr>
                <w:lang w:val="en-GB"/>
              </w:rPr>
              <w:t xml:space="preserve">budget of </w:t>
            </w:r>
            <w:r>
              <w:rPr>
                <w:lang w:val="en-GB"/>
              </w:rPr>
              <w:t xml:space="preserve">the Project is </w:t>
            </w:r>
            <w:r w:rsidR="00072695">
              <w:rPr>
                <w:lang w:val="en-GB"/>
              </w:rPr>
              <w:t xml:space="preserve">more than </w:t>
            </w:r>
            <w:r w:rsidR="00935C98" w:rsidRPr="00935C98">
              <w:rPr>
                <w:lang w:val="en-GB"/>
              </w:rPr>
              <w:t xml:space="preserve">6 million Euros and is co-financed with 1.5 million Euros by the </w:t>
            </w:r>
            <w:r>
              <w:rPr>
                <w:lang w:val="en-GB"/>
              </w:rPr>
              <w:t>EU; Project</w:t>
            </w:r>
            <w:r w:rsidR="00935C98" w:rsidRPr="00935C98">
              <w:rPr>
                <w:lang w:val="en-GB"/>
              </w:rPr>
              <w:t xml:space="preserve"> </w:t>
            </w:r>
            <w:r>
              <w:rPr>
                <w:lang w:val="en-GB"/>
              </w:rPr>
              <w:t>implementation will last 2017-2019 period.</w:t>
            </w:r>
          </w:p>
          <w:p w:rsidR="000D5E53" w:rsidRPr="000D5E53" w:rsidRDefault="001833F5" w:rsidP="008D26E8">
            <w:pPr>
              <w:spacing w:before="120"/>
              <w:jc w:val="both"/>
            </w:pPr>
            <w:r>
              <w:rPr>
                <w:lang w:val="en-GB"/>
              </w:rPr>
              <w:t>Three</w:t>
            </w:r>
            <w:r w:rsidR="00935C98" w:rsidRPr="00935C98">
              <w:rPr>
                <w:lang w:val="en-GB"/>
              </w:rPr>
              <w:t xml:space="preserve"> pilot</w:t>
            </w:r>
            <w:r>
              <w:rPr>
                <w:lang w:val="en-GB"/>
              </w:rPr>
              <w:t xml:space="preserve"> actions</w:t>
            </w:r>
            <w:r w:rsidR="00935C98" w:rsidRPr="00935C98">
              <w:rPr>
                <w:lang w:val="en-GB"/>
              </w:rPr>
              <w:t xml:space="preserve"> will be carried out</w:t>
            </w:r>
            <w:r>
              <w:rPr>
                <w:lang w:val="en-GB"/>
              </w:rPr>
              <w:t xml:space="preserve"> at Canary Islands, maritime connexion between Balearic Island and Iberian Peninsula</w:t>
            </w:r>
            <w:r w:rsidR="00935C98" w:rsidRPr="00935C98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Pasaia</w:t>
            </w:r>
            <w:proofErr w:type="spellEnd"/>
            <w:r>
              <w:rPr>
                <w:lang w:val="en-GB"/>
              </w:rPr>
              <w:t xml:space="preserve">; </w:t>
            </w:r>
            <w:r w:rsidR="003E0FB9">
              <w:rPr>
                <w:lang w:val="en-GB"/>
              </w:rPr>
              <w:t>thus,</w:t>
            </w:r>
            <w:r>
              <w:rPr>
                <w:lang w:val="en-GB"/>
              </w:rPr>
              <w:t xml:space="preserve"> electric </w:t>
            </w:r>
            <w:r w:rsidR="000D5E53">
              <w:rPr>
                <w:lang w:val="en-GB"/>
              </w:rPr>
              <w:t xml:space="preserve">power </w:t>
            </w:r>
            <w:r>
              <w:rPr>
                <w:lang w:val="en-GB"/>
              </w:rPr>
              <w:t xml:space="preserve">connections will be provided at berth in 7 </w:t>
            </w:r>
            <w:r w:rsidR="000D5E53">
              <w:rPr>
                <w:lang w:val="en-GB"/>
              </w:rPr>
              <w:t xml:space="preserve">National </w:t>
            </w:r>
            <w:r>
              <w:rPr>
                <w:lang w:val="en-GB"/>
              </w:rPr>
              <w:t>port</w:t>
            </w:r>
            <w:r w:rsidR="000D5E53">
              <w:rPr>
                <w:lang w:val="en-GB"/>
              </w:rPr>
              <w:t xml:space="preserve">s including </w:t>
            </w:r>
            <w:r w:rsidR="000D5E53" w:rsidRPr="000D5E53">
              <w:t xml:space="preserve">SC Tenerife, La Palma, SS de la Gomera, Las Palmas, Palma de Mallorca, Barcelona </w:t>
            </w:r>
            <w:r w:rsidR="009C5214">
              <w:t>and</w:t>
            </w:r>
            <w:r w:rsidR="000D5E53" w:rsidRPr="000D5E53">
              <w:t xml:space="preserve"> </w:t>
            </w:r>
            <w:proofErr w:type="spellStart"/>
            <w:r w:rsidR="000D5E53" w:rsidRPr="000D5E53">
              <w:t>Pasaia</w:t>
            </w:r>
            <w:proofErr w:type="spellEnd"/>
            <w:r w:rsidR="000D5E53" w:rsidRPr="000D5E53">
              <w:t>.</w:t>
            </w:r>
          </w:p>
          <w:p w:rsidR="00935C98" w:rsidRDefault="00935C98" w:rsidP="008D26E8">
            <w:pPr>
              <w:spacing w:before="120"/>
              <w:jc w:val="both"/>
              <w:rPr>
                <w:lang w:val="en-GB"/>
              </w:rPr>
            </w:pPr>
            <w:r w:rsidRPr="00935C98">
              <w:rPr>
                <w:lang w:val="en-GB"/>
              </w:rPr>
              <w:t>In parallel</w:t>
            </w:r>
            <w:r w:rsidR="000D5E53">
              <w:rPr>
                <w:lang w:val="en-GB"/>
              </w:rPr>
              <w:t>,</w:t>
            </w:r>
            <w:r w:rsidRPr="00935C98">
              <w:rPr>
                <w:lang w:val="en-GB"/>
              </w:rPr>
              <w:t xml:space="preserve"> </w:t>
            </w:r>
            <w:r w:rsidR="000D5E53">
              <w:rPr>
                <w:lang w:val="en-GB"/>
              </w:rPr>
              <w:t>some 10</w:t>
            </w:r>
            <w:r w:rsidRPr="00935C98">
              <w:rPr>
                <w:lang w:val="en-GB"/>
              </w:rPr>
              <w:t xml:space="preserve"> ships from the shipping companies Fred Olsen, UECC </w:t>
            </w:r>
            <w:r w:rsidR="000D5E53">
              <w:rPr>
                <w:lang w:val="en-GB"/>
              </w:rPr>
              <w:t xml:space="preserve">and </w:t>
            </w:r>
            <w:proofErr w:type="spellStart"/>
            <w:r w:rsidR="000D5E53">
              <w:rPr>
                <w:lang w:val="en-GB"/>
              </w:rPr>
              <w:t>Acciona-Trasmediterránea</w:t>
            </w:r>
            <w:proofErr w:type="spellEnd"/>
            <w:r w:rsidR="000D5E53">
              <w:rPr>
                <w:lang w:val="en-GB"/>
              </w:rPr>
              <w:t xml:space="preserve"> </w:t>
            </w:r>
            <w:r w:rsidRPr="00935C98">
              <w:rPr>
                <w:lang w:val="en-GB"/>
              </w:rPr>
              <w:t>will be adapted to</w:t>
            </w:r>
            <w:r w:rsidR="001833F5">
              <w:rPr>
                <w:lang w:val="en-GB"/>
              </w:rPr>
              <w:t xml:space="preserve"> be ready for </w:t>
            </w:r>
            <w:r w:rsidR="000D5E53">
              <w:rPr>
                <w:lang w:val="en-GB"/>
              </w:rPr>
              <w:t>on-</w:t>
            </w:r>
            <w:r w:rsidR="001833F5">
              <w:rPr>
                <w:lang w:val="en-GB"/>
              </w:rPr>
              <w:t>shore connection.</w:t>
            </w:r>
          </w:p>
          <w:p w:rsidR="001833F5" w:rsidRPr="00935C98" w:rsidRDefault="001833F5" w:rsidP="001833F5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Public Body Puertos del Estado </w:t>
            </w:r>
            <w:r w:rsidRPr="00935C98">
              <w:rPr>
                <w:lang w:val="en-GB"/>
              </w:rPr>
              <w:t xml:space="preserve">(OPPE) </w:t>
            </w:r>
            <w:r>
              <w:rPr>
                <w:lang w:val="en-GB"/>
              </w:rPr>
              <w:t xml:space="preserve">is </w:t>
            </w:r>
            <w:r w:rsidRPr="00935C98">
              <w:rPr>
                <w:lang w:val="en-GB"/>
              </w:rPr>
              <w:t xml:space="preserve">responsible for the coordination </w:t>
            </w:r>
            <w:r>
              <w:rPr>
                <w:lang w:val="en-GB"/>
              </w:rPr>
              <w:t xml:space="preserve">of the Project. It </w:t>
            </w:r>
            <w:r w:rsidRPr="00935C98">
              <w:rPr>
                <w:lang w:val="en-GB"/>
              </w:rPr>
              <w:t xml:space="preserve">will </w:t>
            </w:r>
            <w:r>
              <w:rPr>
                <w:lang w:val="en-GB"/>
              </w:rPr>
              <w:t xml:space="preserve">also </w:t>
            </w:r>
            <w:r w:rsidRPr="00935C98">
              <w:rPr>
                <w:lang w:val="en-GB"/>
              </w:rPr>
              <w:t xml:space="preserve">carry out a study on the current legal framework to identify existing barriers that hinder the development of </w:t>
            </w:r>
            <w:r w:rsidR="000D5E53">
              <w:rPr>
                <w:lang w:val="en-GB"/>
              </w:rPr>
              <w:t>this alternative to fossil fuel.</w:t>
            </w:r>
          </w:p>
          <w:p w:rsidR="00935C98" w:rsidRPr="009B3CC0" w:rsidRDefault="003E0FB9" w:rsidP="009B3CC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lang w:val="en-GB"/>
              </w:rPr>
              <w:t>Also,</w:t>
            </w:r>
            <w:r w:rsidR="000D5E53">
              <w:rPr>
                <w:lang w:val="en-GB"/>
              </w:rPr>
              <w:t xml:space="preserve"> t</w:t>
            </w:r>
            <w:r w:rsidR="00935C98" w:rsidRPr="00935C98">
              <w:rPr>
                <w:lang w:val="en-GB"/>
              </w:rPr>
              <w:t xml:space="preserve">he Project includes realization of studies </w:t>
            </w:r>
            <w:r w:rsidR="000D5E53">
              <w:rPr>
                <w:lang w:val="en-GB"/>
              </w:rPr>
              <w:t>on benefits</w:t>
            </w:r>
            <w:r w:rsidR="009B3CC0">
              <w:rPr>
                <w:lang w:val="en-GB"/>
              </w:rPr>
              <w:t xml:space="preserve"> derived</w:t>
            </w:r>
            <w:r w:rsidR="000D5E53">
              <w:rPr>
                <w:lang w:val="en-GB"/>
              </w:rPr>
              <w:t xml:space="preserve"> from pollution and noise reduction in cities, and on possible auxiliary services to the electri</w:t>
            </w:r>
            <w:r w:rsidR="009B3CC0">
              <w:rPr>
                <w:lang w:val="en-GB"/>
              </w:rPr>
              <w:t>c</w:t>
            </w:r>
            <w:r w:rsidR="000D5E53">
              <w:rPr>
                <w:lang w:val="en-GB"/>
              </w:rPr>
              <w:t xml:space="preserve"> grid</w:t>
            </w:r>
            <w:r w:rsidR="00935C98" w:rsidRPr="00935C98">
              <w:rPr>
                <w:lang w:val="en-GB"/>
              </w:rPr>
              <w:t xml:space="preserve">. </w:t>
            </w:r>
            <w:r w:rsidR="000D5E53" w:rsidRPr="000D5E53">
              <w:rPr>
                <w:lang w:val="en-GB"/>
              </w:rPr>
              <w:t xml:space="preserve">They will be realized by High School of Electric Engineers and </w:t>
            </w:r>
            <w:r w:rsidR="009B3CC0">
              <w:rPr>
                <w:lang w:val="en-GB"/>
              </w:rPr>
              <w:t xml:space="preserve">by </w:t>
            </w:r>
            <w:r w:rsidR="000D5E53" w:rsidRPr="000D5E53">
              <w:rPr>
                <w:lang w:val="en-GB"/>
              </w:rPr>
              <w:t xml:space="preserve">Robotic </w:t>
            </w:r>
            <w:r w:rsidR="009B3CC0" w:rsidRPr="000D5E53">
              <w:rPr>
                <w:lang w:val="en-GB"/>
              </w:rPr>
              <w:t>Centre</w:t>
            </w:r>
            <w:r w:rsidR="000D5E53" w:rsidRPr="000D5E53">
              <w:rPr>
                <w:lang w:val="en-GB"/>
              </w:rPr>
              <w:t xml:space="preserve"> at UPM and </w:t>
            </w:r>
            <w:r w:rsidR="000D5E53" w:rsidRPr="000D5E53">
              <w:rPr>
                <w:lang w:val="en-GB"/>
              </w:rPr>
              <w:t xml:space="preserve">CSIC, </w:t>
            </w:r>
            <w:r w:rsidR="000D5E53">
              <w:rPr>
                <w:lang w:val="en-GB"/>
              </w:rPr>
              <w:t xml:space="preserve">together with </w:t>
            </w:r>
            <w:r w:rsidR="009B3CC0" w:rsidRPr="000D5E53">
              <w:rPr>
                <w:lang w:val="en-GB"/>
              </w:rPr>
              <w:t>Univer</w:t>
            </w:r>
            <w:r w:rsidR="009B3CC0">
              <w:rPr>
                <w:lang w:val="en-GB"/>
              </w:rPr>
              <w:t>sities</w:t>
            </w:r>
            <w:r w:rsidR="000D5E53">
              <w:rPr>
                <w:lang w:val="en-GB"/>
              </w:rPr>
              <w:t xml:space="preserve"> of </w:t>
            </w:r>
            <w:r w:rsidR="000D5E53" w:rsidRPr="000D5E53">
              <w:rPr>
                <w:lang w:val="en-GB"/>
              </w:rPr>
              <w:t xml:space="preserve">Cádiz (UCA) y </w:t>
            </w:r>
            <w:r w:rsidR="000D5E53">
              <w:rPr>
                <w:lang w:val="en-GB"/>
              </w:rPr>
              <w:t>L</w:t>
            </w:r>
            <w:r w:rsidR="000D5E53" w:rsidRPr="000D5E53">
              <w:rPr>
                <w:lang w:val="en-GB"/>
              </w:rPr>
              <w:t xml:space="preserve">as Palmas de Gran </w:t>
            </w:r>
            <w:proofErr w:type="spellStart"/>
            <w:r w:rsidR="000D5E53" w:rsidRPr="000D5E53">
              <w:rPr>
                <w:lang w:val="en-GB"/>
              </w:rPr>
              <w:t>Canaria</w:t>
            </w:r>
            <w:proofErr w:type="spellEnd"/>
            <w:r w:rsidR="000D5E53" w:rsidRPr="000D5E53">
              <w:rPr>
                <w:lang w:val="en-GB"/>
              </w:rPr>
              <w:t xml:space="preserve"> (ULPGC). </w:t>
            </w:r>
            <w:r w:rsidR="000D5E53" w:rsidRPr="009B3CC0">
              <w:t>Consulting companies</w:t>
            </w:r>
            <w:r w:rsidR="000D5E53" w:rsidRPr="009B3CC0">
              <w:t xml:space="preserve"> </w:t>
            </w:r>
            <w:proofErr w:type="spellStart"/>
            <w:r w:rsidR="000D5E53" w:rsidRPr="009B3CC0">
              <w:t>Inova</w:t>
            </w:r>
            <w:proofErr w:type="spellEnd"/>
            <w:r w:rsidR="000D5E53" w:rsidRPr="009B3CC0">
              <w:t xml:space="preserve">, </w:t>
            </w:r>
            <w:proofErr w:type="spellStart"/>
            <w:r w:rsidR="000D5E53" w:rsidRPr="009B3CC0">
              <w:t>Ghenova</w:t>
            </w:r>
            <w:proofErr w:type="spellEnd"/>
            <w:r w:rsidR="000D5E53" w:rsidRPr="009B3CC0">
              <w:t xml:space="preserve"> y </w:t>
            </w:r>
            <w:proofErr w:type="spellStart"/>
            <w:r w:rsidR="000D5E53" w:rsidRPr="009B3CC0">
              <w:t>Seaplace</w:t>
            </w:r>
            <w:proofErr w:type="spellEnd"/>
            <w:r w:rsidR="000D5E53" w:rsidRPr="009B3CC0">
              <w:t xml:space="preserve"> </w:t>
            </w:r>
            <w:r w:rsidR="000D5E53" w:rsidRPr="009B3CC0">
              <w:t xml:space="preserve">will identify </w:t>
            </w:r>
            <w:r w:rsidR="009B3CC0" w:rsidRPr="009B3CC0">
              <w:t>possible</w:t>
            </w:r>
            <w:r w:rsidR="000D5E53" w:rsidRPr="009B3CC0">
              <w:t xml:space="preserve"> positions for </w:t>
            </w:r>
            <w:r w:rsidR="009B3CC0" w:rsidRPr="009B3CC0">
              <w:t xml:space="preserve">new power connections, and </w:t>
            </w:r>
            <w:r w:rsidR="000D5E53" w:rsidRPr="009B3CC0">
              <w:t xml:space="preserve">Marine Traffic </w:t>
            </w:r>
            <w:r w:rsidR="009B3CC0" w:rsidRPr="009B3CC0">
              <w:t xml:space="preserve">is contributing </w:t>
            </w:r>
            <w:r w:rsidR="009B3CC0">
              <w:t>to</w:t>
            </w:r>
            <w:r w:rsidR="009B3CC0" w:rsidRPr="009B3CC0">
              <w:t xml:space="preserve"> disseminati</w:t>
            </w:r>
            <w:r w:rsidR="009B3CC0">
              <w:t>ng Project results.</w:t>
            </w:r>
          </w:p>
        </w:tc>
      </w:tr>
      <w:tr w:rsidR="00935C98" w:rsidRPr="00F8647D" w:rsidTr="00072695">
        <w:trPr>
          <w:trHeight w:val="864"/>
        </w:trPr>
        <w:tc>
          <w:tcPr>
            <w:tcW w:w="3119" w:type="dxa"/>
            <w:vAlign w:val="center"/>
          </w:tcPr>
          <w:p w:rsidR="00935C98" w:rsidRPr="00935C98" w:rsidRDefault="00935C98" w:rsidP="00055154">
            <w:pPr>
              <w:rPr>
                <w:b/>
                <w:sz w:val="20"/>
                <w:szCs w:val="20"/>
              </w:rPr>
            </w:pPr>
            <w:r w:rsidRPr="00935C98">
              <w:rPr>
                <w:b/>
                <w:sz w:val="20"/>
                <w:szCs w:val="20"/>
              </w:rPr>
              <w:t>Implementation schedule:</w:t>
            </w:r>
          </w:p>
          <w:p w:rsidR="00935C98" w:rsidRDefault="00935C98" w:rsidP="00055154">
            <w:pPr>
              <w:ind w:left="176"/>
              <w:rPr>
                <w:sz w:val="20"/>
                <w:szCs w:val="20"/>
              </w:rPr>
            </w:pPr>
            <w:r w:rsidRPr="00F8647D">
              <w:rPr>
                <w:sz w:val="20"/>
                <w:szCs w:val="20"/>
              </w:rPr>
              <w:t>Start date: November 2016</w:t>
            </w:r>
          </w:p>
          <w:p w:rsidR="00935C98" w:rsidRPr="00F8647D" w:rsidRDefault="00935C98" w:rsidP="00055154">
            <w:pPr>
              <w:ind w:left="176"/>
              <w:rPr>
                <w:sz w:val="20"/>
                <w:szCs w:val="20"/>
              </w:rPr>
            </w:pPr>
            <w:r w:rsidRPr="00852DDD">
              <w:rPr>
                <w:sz w:val="20"/>
                <w:szCs w:val="20"/>
              </w:rPr>
              <w:t>End date: December 2019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935C98" w:rsidRPr="00935C98" w:rsidRDefault="00935C98" w:rsidP="008D26E8">
            <w:pPr>
              <w:rPr>
                <w:sz w:val="22"/>
                <w:szCs w:val="22"/>
                <w:lang w:val="es-ES"/>
              </w:rPr>
            </w:pPr>
          </w:p>
        </w:tc>
      </w:tr>
      <w:tr w:rsidR="00935C98" w:rsidRPr="00852DDD" w:rsidTr="00072695">
        <w:trPr>
          <w:trHeight w:val="1699"/>
        </w:trPr>
        <w:tc>
          <w:tcPr>
            <w:tcW w:w="3119" w:type="dxa"/>
            <w:vAlign w:val="center"/>
          </w:tcPr>
          <w:p w:rsidR="00935C98" w:rsidRPr="00935C98" w:rsidRDefault="00935C98" w:rsidP="00055154">
            <w:pPr>
              <w:rPr>
                <w:b/>
                <w:sz w:val="20"/>
                <w:szCs w:val="20"/>
              </w:rPr>
            </w:pPr>
            <w:r w:rsidRPr="00935C98">
              <w:rPr>
                <w:b/>
                <w:sz w:val="20"/>
                <w:szCs w:val="20"/>
              </w:rPr>
              <w:t>Budget:</w:t>
            </w:r>
          </w:p>
          <w:p w:rsidR="00935C98" w:rsidRPr="00935C98" w:rsidRDefault="00935C98" w:rsidP="00055154">
            <w:pPr>
              <w:ind w:left="176"/>
              <w:rPr>
                <w:sz w:val="20"/>
                <w:szCs w:val="20"/>
              </w:rPr>
            </w:pPr>
            <w:r w:rsidRPr="00935C98">
              <w:rPr>
                <w:sz w:val="20"/>
                <w:szCs w:val="20"/>
              </w:rPr>
              <w:t>Estimated total cost of the action:</w:t>
            </w:r>
            <w:r>
              <w:rPr>
                <w:sz w:val="20"/>
                <w:szCs w:val="20"/>
              </w:rPr>
              <w:t xml:space="preserve"> </w:t>
            </w:r>
            <w:r w:rsidRPr="00935C98">
              <w:rPr>
                <w:sz w:val="20"/>
                <w:szCs w:val="20"/>
              </w:rPr>
              <w:t>€6,206,574</w:t>
            </w:r>
          </w:p>
          <w:p w:rsidR="00935C98" w:rsidRPr="00935C98" w:rsidRDefault="00935C98" w:rsidP="00055154">
            <w:pPr>
              <w:ind w:left="176"/>
              <w:rPr>
                <w:sz w:val="20"/>
                <w:szCs w:val="20"/>
              </w:rPr>
            </w:pPr>
            <w:r w:rsidRPr="00935C98">
              <w:rPr>
                <w:sz w:val="20"/>
                <w:szCs w:val="20"/>
              </w:rPr>
              <w:t>Maximum EU contribution:</w:t>
            </w:r>
          </w:p>
          <w:p w:rsidR="00935C98" w:rsidRPr="00935C98" w:rsidRDefault="00935C98" w:rsidP="00055154">
            <w:pPr>
              <w:ind w:left="176"/>
              <w:rPr>
                <w:sz w:val="20"/>
                <w:szCs w:val="20"/>
              </w:rPr>
            </w:pPr>
            <w:r w:rsidRPr="00935C98">
              <w:rPr>
                <w:sz w:val="20"/>
                <w:szCs w:val="20"/>
              </w:rPr>
              <w:t>€1,641,815</w:t>
            </w:r>
          </w:p>
          <w:p w:rsidR="00935C98" w:rsidRPr="00F8647D" w:rsidRDefault="00935C98" w:rsidP="00055154">
            <w:pPr>
              <w:ind w:left="176"/>
              <w:rPr>
                <w:sz w:val="20"/>
                <w:szCs w:val="20"/>
              </w:rPr>
            </w:pPr>
            <w:r w:rsidRPr="00935C98">
              <w:rPr>
                <w:sz w:val="20"/>
                <w:szCs w:val="20"/>
              </w:rPr>
              <w:t>Percentage of EU support: 26.46%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935C98" w:rsidRPr="00935C98" w:rsidRDefault="00935C98" w:rsidP="008D26E8">
            <w:pPr>
              <w:rPr>
                <w:sz w:val="22"/>
                <w:szCs w:val="22"/>
                <w:lang w:val="en-GB"/>
              </w:rPr>
            </w:pPr>
          </w:p>
        </w:tc>
      </w:tr>
      <w:tr w:rsidR="00935C98" w:rsidRPr="00F8647D" w:rsidTr="00072695">
        <w:trPr>
          <w:trHeight w:val="1128"/>
        </w:trPr>
        <w:tc>
          <w:tcPr>
            <w:tcW w:w="3119" w:type="dxa"/>
            <w:vAlign w:val="center"/>
          </w:tcPr>
          <w:p w:rsidR="00935C98" w:rsidRPr="00935C98" w:rsidRDefault="00935C98" w:rsidP="00055154">
            <w:pPr>
              <w:rPr>
                <w:b/>
                <w:sz w:val="20"/>
                <w:szCs w:val="20"/>
                <w:lang w:val="es-ES"/>
              </w:rPr>
            </w:pPr>
            <w:r w:rsidRPr="00935C98">
              <w:rPr>
                <w:b/>
                <w:sz w:val="20"/>
                <w:szCs w:val="20"/>
                <w:lang w:val="es-ES"/>
              </w:rPr>
              <w:t xml:space="preserve">Project </w:t>
            </w:r>
            <w:proofErr w:type="spellStart"/>
            <w:r w:rsidRPr="00072695">
              <w:rPr>
                <w:b/>
                <w:sz w:val="20"/>
                <w:szCs w:val="20"/>
                <w:lang w:val="es-ES"/>
              </w:rPr>
              <w:t>Coordinator</w:t>
            </w:r>
            <w:proofErr w:type="spellEnd"/>
            <w:r w:rsidRPr="00935C98">
              <w:rPr>
                <w:b/>
                <w:sz w:val="20"/>
                <w:szCs w:val="20"/>
                <w:lang w:val="es-ES"/>
              </w:rPr>
              <w:t>:</w:t>
            </w:r>
          </w:p>
          <w:p w:rsidR="00935C98" w:rsidRPr="00852DDD" w:rsidRDefault="00935C98" w:rsidP="00055154">
            <w:pPr>
              <w:ind w:left="176"/>
              <w:rPr>
                <w:sz w:val="20"/>
                <w:szCs w:val="20"/>
                <w:lang w:val="es-ES"/>
              </w:rPr>
            </w:pPr>
            <w:r w:rsidRPr="00852DDD">
              <w:rPr>
                <w:sz w:val="20"/>
                <w:szCs w:val="20"/>
                <w:lang w:val="es-ES"/>
              </w:rPr>
              <w:t>Organismo Público Puertos del Estado</w:t>
            </w:r>
          </w:p>
          <w:p w:rsidR="00935C98" w:rsidRPr="00F8647D" w:rsidRDefault="00C264E0" w:rsidP="008A69CE">
            <w:pPr>
              <w:ind w:left="34"/>
              <w:rPr>
                <w:sz w:val="20"/>
                <w:szCs w:val="20"/>
                <w:lang w:val="es-ES"/>
              </w:rPr>
            </w:pPr>
            <w:hyperlink r:id="rId6" w:history="1">
              <w:r w:rsidR="00935C98" w:rsidRPr="00120B90">
                <w:rPr>
                  <w:rStyle w:val="Hipervnculo"/>
                  <w:sz w:val="20"/>
                  <w:szCs w:val="20"/>
                  <w:lang w:val="es-ES"/>
                </w:rPr>
                <w:t>www.puertos.es</w:t>
              </w:r>
            </w:hyperlink>
            <w:r w:rsidR="00935C9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935C98" w:rsidRPr="00935C98" w:rsidRDefault="00935C98" w:rsidP="008D26E8">
            <w:pPr>
              <w:rPr>
                <w:sz w:val="22"/>
                <w:szCs w:val="22"/>
                <w:lang w:val="es-ES"/>
              </w:rPr>
            </w:pPr>
          </w:p>
        </w:tc>
      </w:tr>
      <w:tr w:rsidR="00935C98" w:rsidRPr="00055154" w:rsidTr="00072695">
        <w:trPr>
          <w:trHeight w:val="3227"/>
        </w:trPr>
        <w:tc>
          <w:tcPr>
            <w:tcW w:w="3119" w:type="dxa"/>
          </w:tcPr>
          <w:p w:rsidR="00935C98" w:rsidRDefault="00935C98" w:rsidP="00055154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935C98">
              <w:rPr>
                <w:b/>
                <w:sz w:val="20"/>
                <w:szCs w:val="20"/>
                <w:lang w:val="en-GB"/>
              </w:rPr>
              <w:t>Additional Information:</w:t>
            </w:r>
          </w:p>
          <w:p w:rsidR="00935C98" w:rsidRPr="00072695" w:rsidRDefault="00935C98" w:rsidP="008A69CE">
            <w:pPr>
              <w:spacing w:before="60"/>
              <w:ind w:left="176"/>
              <w:rPr>
                <w:i/>
                <w:sz w:val="20"/>
                <w:szCs w:val="20"/>
                <w:lang w:val="en-GB"/>
              </w:rPr>
            </w:pPr>
            <w:r w:rsidRPr="00072695">
              <w:rPr>
                <w:i/>
                <w:sz w:val="20"/>
                <w:szCs w:val="20"/>
                <w:lang w:val="en-GB"/>
              </w:rPr>
              <w:t xml:space="preserve">European </w:t>
            </w:r>
            <w:proofErr w:type="spellStart"/>
            <w:r w:rsidRPr="00072695">
              <w:rPr>
                <w:i/>
                <w:sz w:val="20"/>
                <w:szCs w:val="20"/>
                <w:lang w:val="en-GB"/>
              </w:rPr>
              <w:t>Commision</w:t>
            </w:r>
            <w:proofErr w:type="spellEnd"/>
          </w:p>
          <w:p w:rsidR="00935C98" w:rsidRPr="00072695" w:rsidRDefault="00C264E0" w:rsidP="00055154">
            <w:pPr>
              <w:ind w:left="34"/>
              <w:rPr>
                <w:sz w:val="20"/>
                <w:szCs w:val="20"/>
                <w:lang w:val="en-GB"/>
              </w:rPr>
            </w:pPr>
            <w:hyperlink r:id="rId7" w:history="1">
              <w:r w:rsidR="00935C98" w:rsidRPr="00072695">
                <w:rPr>
                  <w:rStyle w:val="Hipervnculo"/>
                  <w:sz w:val="20"/>
                  <w:szCs w:val="20"/>
                  <w:lang w:val="en-GB"/>
                </w:rPr>
                <w:t>https://ec.europa.eu/transport/</w:t>
              </w:r>
            </w:hyperlink>
            <w:r w:rsidR="00935C98" w:rsidRPr="00072695">
              <w:rPr>
                <w:sz w:val="20"/>
                <w:szCs w:val="20"/>
                <w:lang w:val="en-GB"/>
              </w:rPr>
              <w:t xml:space="preserve"> </w:t>
            </w:r>
          </w:p>
          <w:p w:rsidR="00935C98" w:rsidRPr="00935C98" w:rsidRDefault="00935C98" w:rsidP="008A69CE">
            <w:pPr>
              <w:spacing w:before="60"/>
              <w:ind w:left="176"/>
              <w:rPr>
                <w:i/>
                <w:sz w:val="20"/>
                <w:szCs w:val="20"/>
                <w:lang w:val="en-GB"/>
              </w:rPr>
            </w:pPr>
            <w:r w:rsidRPr="00935C98">
              <w:rPr>
                <w:i/>
                <w:sz w:val="20"/>
                <w:szCs w:val="20"/>
                <w:lang w:val="en-GB"/>
              </w:rPr>
              <w:t>Innovation and Networks Executive Agency (INEA)</w:t>
            </w:r>
          </w:p>
          <w:p w:rsidR="00935C98" w:rsidRPr="00072695" w:rsidRDefault="00C264E0" w:rsidP="00055154">
            <w:pPr>
              <w:ind w:left="34"/>
              <w:rPr>
                <w:sz w:val="20"/>
                <w:szCs w:val="20"/>
                <w:lang w:val="en-GB"/>
              </w:rPr>
            </w:pPr>
            <w:hyperlink r:id="rId8" w:history="1">
              <w:r w:rsidR="00935C98" w:rsidRPr="00072695">
                <w:rPr>
                  <w:rStyle w:val="Hipervnculo"/>
                  <w:sz w:val="20"/>
                  <w:szCs w:val="20"/>
                  <w:lang w:val="en-GB"/>
                </w:rPr>
                <w:t>http://ec.europa.eu/inea/</w:t>
              </w:r>
            </w:hyperlink>
          </w:p>
          <w:p w:rsidR="00935C98" w:rsidRPr="00072695" w:rsidRDefault="00935C98" w:rsidP="008A69CE">
            <w:pPr>
              <w:spacing w:before="60"/>
              <w:ind w:left="176"/>
              <w:rPr>
                <w:i/>
                <w:sz w:val="20"/>
                <w:szCs w:val="20"/>
                <w:lang w:val="en-GB"/>
              </w:rPr>
            </w:pPr>
            <w:r w:rsidRPr="00072695">
              <w:rPr>
                <w:i/>
                <w:sz w:val="20"/>
                <w:szCs w:val="20"/>
                <w:lang w:val="en-GB"/>
              </w:rPr>
              <w:t>INEA’s fact-sheet:</w:t>
            </w:r>
          </w:p>
          <w:p w:rsidR="003F75A5" w:rsidRDefault="00C264E0" w:rsidP="00055154">
            <w:pPr>
              <w:ind w:left="34"/>
              <w:rPr>
                <w:rStyle w:val="Hipervnculo"/>
                <w:sz w:val="20"/>
                <w:szCs w:val="20"/>
                <w:lang w:val="en-GB"/>
              </w:rPr>
            </w:pPr>
            <w:hyperlink r:id="rId9" w:history="1">
              <w:r w:rsidR="00935C98" w:rsidRPr="00072695">
                <w:rPr>
                  <w:rStyle w:val="Hipervnculo"/>
                  <w:sz w:val="20"/>
                  <w:szCs w:val="20"/>
                  <w:lang w:val="en-GB"/>
                </w:rPr>
                <w:t>http://ec.europa.eu/inea/sites/inea/files/fiche_2015-eu-tm-0417-s_final.pdf</w:t>
              </w:r>
            </w:hyperlink>
          </w:p>
          <w:p w:rsidR="00935C98" w:rsidRPr="00072695" w:rsidRDefault="00935C98" w:rsidP="00055154">
            <w:pPr>
              <w:ind w:left="34"/>
              <w:rPr>
                <w:sz w:val="20"/>
                <w:szCs w:val="20"/>
                <w:lang w:val="en-GB"/>
              </w:rPr>
            </w:pPr>
            <w:r w:rsidRPr="00072695">
              <w:rPr>
                <w:sz w:val="20"/>
                <w:szCs w:val="20"/>
                <w:lang w:val="en-GB"/>
              </w:rPr>
              <w:t xml:space="preserve"> </w:t>
            </w:r>
          </w:p>
          <w:p w:rsidR="00935C98" w:rsidRPr="00055154" w:rsidRDefault="00935C98" w:rsidP="008A69CE">
            <w:pPr>
              <w:spacing w:before="60"/>
              <w:ind w:left="176"/>
              <w:rPr>
                <w:i/>
                <w:sz w:val="20"/>
                <w:szCs w:val="20"/>
                <w:lang w:val="en-GB"/>
              </w:rPr>
            </w:pPr>
            <w:r w:rsidRPr="00055154">
              <w:rPr>
                <w:i/>
                <w:sz w:val="20"/>
                <w:szCs w:val="20"/>
                <w:lang w:val="en-GB"/>
              </w:rPr>
              <w:t>Project website:</w:t>
            </w:r>
          </w:p>
          <w:p w:rsidR="00935C98" w:rsidRPr="003F75A5" w:rsidRDefault="00C264E0" w:rsidP="00055154">
            <w:pPr>
              <w:ind w:left="34"/>
              <w:rPr>
                <w:sz w:val="28"/>
                <w:szCs w:val="28"/>
                <w:lang w:val="en-GB"/>
              </w:rPr>
            </w:pPr>
            <w:hyperlink r:id="rId10" w:history="1">
              <w:r w:rsidR="00055154" w:rsidRPr="003F75A5">
                <w:rPr>
                  <w:rStyle w:val="Hipervnculo"/>
                  <w:sz w:val="28"/>
                  <w:szCs w:val="28"/>
                  <w:lang w:val="en-GB"/>
                </w:rPr>
                <w:t>www.porweratberth.e</w:t>
              </w:r>
            </w:hyperlink>
            <w:r w:rsidR="00040481" w:rsidRPr="003F75A5">
              <w:rPr>
                <w:rStyle w:val="Hipervnculo"/>
                <w:sz w:val="28"/>
                <w:szCs w:val="28"/>
                <w:lang w:val="en-GB"/>
              </w:rPr>
              <w:t>u</w:t>
            </w:r>
            <w:r w:rsidR="00055154" w:rsidRPr="003F75A5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935C98" w:rsidRPr="00055154" w:rsidRDefault="00935C98" w:rsidP="008D26E8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22A54" w:rsidRPr="00A22A54" w:rsidRDefault="00A22A54" w:rsidP="00A22A54">
      <w:pPr>
        <w:spacing w:before="120"/>
        <w:jc w:val="center"/>
        <w:rPr>
          <w:b/>
          <w:sz w:val="28"/>
          <w:szCs w:val="28"/>
          <w:lang w:val="es-ES"/>
        </w:rPr>
      </w:pPr>
      <w:r w:rsidRPr="00A22A54">
        <w:rPr>
          <w:b/>
          <w:sz w:val="28"/>
          <w:szCs w:val="28"/>
          <w:lang w:val="es-ES"/>
        </w:rPr>
        <w:lastRenderedPageBreak/>
        <w:t xml:space="preserve">Plan Director </w:t>
      </w:r>
      <w:r w:rsidR="003E0FB9">
        <w:rPr>
          <w:b/>
          <w:sz w:val="28"/>
          <w:szCs w:val="28"/>
          <w:lang w:val="es-ES"/>
        </w:rPr>
        <w:t>Suministro Eléctrico en Atraque</w:t>
      </w:r>
      <w:r w:rsidR="002C3AF6">
        <w:rPr>
          <w:b/>
          <w:sz w:val="28"/>
          <w:szCs w:val="28"/>
          <w:lang w:val="es-ES"/>
        </w:rPr>
        <w:t xml:space="preserve"> </w:t>
      </w:r>
      <w:r w:rsidR="003E0FB9">
        <w:rPr>
          <w:b/>
          <w:sz w:val="28"/>
          <w:szCs w:val="28"/>
          <w:lang w:val="es-ES"/>
        </w:rPr>
        <w:t>para</w:t>
      </w:r>
      <w:r w:rsidRPr="00A22A54">
        <w:rPr>
          <w:b/>
          <w:sz w:val="28"/>
          <w:szCs w:val="28"/>
          <w:lang w:val="es-ES"/>
        </w:rPr>
        <w:t xml:space="preserve"> los Puertos Españoles </w:t>
      </w:r>
    </w:p>
    <w:p w:rsidR="00A22A54" w:rsidRPr="00072695" w:rsidRDefault="00A22A54" w:rsidP="00A22A54">
      <w:pPr>
        <w:spacing w:before="120"/>
        <w:jc w:val="center"/>
        <w:rPr>
          <w:b/>
          <w:lang w:val="es-ES"/>
        </w:rPr>
      </w:pPr>
      <w:r w:rsidRPr="00072695">
        <w:rPr>
          <w:b/>
          <w:lang w:val="es-ES"/>
        </w:rPr>
        <w:t>2015-EU-TM-0417</w:t>
      </w:r>
    </w:p>
    <w:p w:rsidR="00A22A54" w:rsidRPr="00072695" w:rsidRDefault="003E0FB9" w:rsidP="00A22A54">
      <w:pPr>
        <w:spacing w:before="120"/>
        <w:jc w:val="center"/>
        <w:rPr>
          <w:b/>
          <w:lang w:val="es-ES"/>
        </w:rPr>
      </w:pPr>
      <w:r>
        <w:rPr>
          <w:b/>
          <w:lang w:val="es-ES"/>
        </w:rPr>
        <w:t>Proyecto c</w:t>
      </w:r>
      <w:r w:rsidR="002C3AF6">
        <w:rPr>
          <w:b/>
          <w:lang w:val="es-ES"/>
        </w:rPr>
        <w:t xml:space="preserve">ofinanciado por </w:t>
      </w:r>
      <w:proofErr w:type="spellStart"/>
      <w:r w:rsidR="00A22A54" w:rsidRPr="00072695">
        <w:rPr>
          <w:b/>
          <w:lang w:val="es-ES"/>
        </w:rPr>
        <w:t>Connecting</w:t>
      </w:r>
      <w:proofErr w:type="spellEnd"/>
      <w:r w:rsidR="00A22A54" w:rsidRPr="00072695">
        <w:rPr>
          <w:b/>
          <w:lang w:val="es-ES"/>
        </w:rPr>
        <w:t xml:space="preserve"> </w:t>
      </w:r>
      <w:proofErr w:type="spellStart"/>
      <w:r w:rsidR="00A22A54" w:rsidRPr="00072695">
        <w:rPr>
          <w:b/>
          <w:lang w:val="es-ES"/>
        </w:rPr>
        <w:t>Europe</w:t>
      </w:r>
      <w:proofErr w:type="spellEnd"/>
      <w:r w:rsidR="00A22A54" w:rsidRPr="00072695">
        <w:rPr>
          <w:b/>
          <w:lang w:val="es-ES"/>
        </w:rPr>
        <w:t xml:space="preserve"> </w:t>
      </w:r>
      <w:proofErr w:type="spellStart"/>
      <w:r w:rsidR="00A22A54" w:rsidRPr="00072695">
        <w:rPr>
          <w:b/>
          <w:lang w:val="es-ES"/>
        </w:rPr>
        <w:t>Facility</w:t>
      </w:r>
      <w:proofErr w:type="spellEnd"/>
      <w:r w:rsidR="002C3AF6">
        <w:rPr>
          <w:b/>
          <w:lang w:val="es-ES"/>
        </w:rPr>
        <w:t xml:space="preserve"> (CEF)</w:t>
      </w:r>
    </w:p>
    <w:p w:rsidR="00A22A54" w:rsidRPr="00072695" w:rsidRDefault="00A22A54" w:rsidP="00A22A54">
      <w:pPr>
        <w:spacing w:before="120"/>
        <w:jc w:val="center"/>
        <w:rPr>
          <w:lang w:val="es-ES"/>
        </w:rPr>
      </w:pPr>
    </w:p>
    <w:p w:rsidR="00A22A54" w:rsidRPr="00A22A54" w:rsidRDefault="002C3AF6" w:rsidP="00072695">
      <w:pPr>
        <w:spacing w:before="120" w:after="120"/>
        <w:jc w:val="both"/>
        <w:rPr>
          <w:lang w:val="es-ES"/>
        </w:rPr>
      </w:pPr>
      <w:r>
        <w:rPr>
          <w:lang w:val="es-ES"/>
        </w:rPr>
        <w:t>El objetivo del P</w:t>
      </w:r>
      <w:r w:rsidR="00A22A54" w:rsidRPr="00A22A54">
        <w:rPr>
          <w:lang w:val="es-ES"/>
        </w:rPr>
        <w:t xml:space="preserve">royecto es elaborar </w:t>
      </w:r>
      <w:r>
        <w:rPr>
          <w:lang w:val="es-ES"/>
        </w:rPr>
        <w:t>un</w:t>
      </w:r>
      <w:r w:rsidR="00A22A54" w:rsidRPr="00A22A54">
        <w:rPr>
          <w:lang w:val="es-ES"/>
        </w:rPr>
        <w:t xml:space="preserve"> Plan Director </w:t>
      </w:r>
      <w:r w:rsidR="00727AF0">
        <w:rPr>
          <w:lang w:val="es-ES"/>
        </w:rPr>
        <w:t xml:space="preserve">2025 </w:t>
      </w:r>
      <w:r w:rsidR="00A22A54" w:rsidRPr="00A22A54">
        <w:rPr>
          <w:lang w:val="es-ES"/>
        </w:rPr>
        <w:t>para el suministro de energ</w:t>
      </w:r>
      <w:r w:rsidR="00A22A54">
        <w:rPr>
          <w:lang w:val="es-ES"/>
        </w:rPr>
        <w:t>ía eléctrica a b</w:t>
      </w:r>
      <w:r>
        <w:rPr>
          <w:lang w:val="es-ES"/>
        </w:rPr>
        <w:t>uques</w:t>
      </w:r>
      <w:r w:rsidR="00A22A54">
        <w:rPr>
          <w:lang w:val="es-ES"/>
        </w:rPr>
        <w:t xml:space="preserve"> atracados</w:t>
      </w:r>
      <w:r>
        <w:rPr>
          <w:lang w:val="es-ES"/>
        </w:rPr>
        <w:t>. El Proyecto f</w:t>
      </w:r>
      <w:r w:rsidR="00A22A54">
        <w:rPr>
          <w:lang w:val="es-ES"/>
        </w:rPr>
        <w:t xml:space="preserve">orma parte del Marco de Acción Nacional </w:t>
      </w:r>
      <w:r>
        <w:rPr>
          <w:lang w:val="es-ES"/>
        </w:rPr>
        <w:t xml:space="preserve">(MAC) </w:t>
      </w:r>
      <w:r w:rsidR="00A22A54">
        <w:rPr>
          <w:lang w:val="es-ES"/>
        </w:rPr>
        <w:t xml:space="preserve">para el desarrollo de infraestructuras para el uso de combustibles alternativos en el sector del transporte, en cumplimiento del Artículo 13 de la Directiva </w:t>
      </w:r>
      <w:r w:rsidR="00A22A54" w:rsidRPr="00A22A54">
        <w:rPr>
          <w:lang w:val="es-ES"/>
        </w:rPr>
        <w:t xml:space="preserve">2014/94 EU. </w:t>
      </w:r>
      <w:r w:rsidR="00A22A54">
        <w:rPr>
          <w:lang w:val="es-ES"/>
        </w:rPr>
        <w:t xml:space="preserve"> </w:t>
      </w:r>
    </w:p>
    <w:tbl>
      <w:tblPr>
        <w:tblStyle w:val="Tablaconcuadrcul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A22A54" w:rsidRPr="00040481" w:rsidTr="00072695">
        <w:trPr>
          <w:trHeight w:val="573"/>
        </w:trPr>
        <w:tc>
          <w:tcPr>
            <w:tcW w:w="3119" w:type="dxa"/>
            <w:vAlign w:val="center"/>
          </w:tcPr>
          <w:p w:rsidR="00A22A54" w:rsidRPr="00935C98" w:rsidRDefault="00342E87" w:rsidP="00034AF7">
            <w:pPr>
              <w:rPr>
                <w:b/>
                <w:sz w:val="20"/>
                <w:szCs w:val="20"/>
              </w:rPr>
            </w:pPr>
            <w:r w:rsidRPr="00F15B1E">
              <w:rPr>
                <w:b/>
                <w:sz w:val="20"/>
                <w:szCs w:val="20"/>
                <w:lang w:val="es-ES"/>
              </w:rPr>
              <w:t>Estados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5B1E">
              <w:rPr>
                <w:b/>
                <w:sz w:val="20"/>
                <w:szCs w:val="20"/>
                <w:lang w:val="es-ES"/>
              </w:rPr>
              <w:t>Miembro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5B1E">
              <w:rPr>
                <w:b/>
                <w:sz w:val="20"/>
                <w:szCs w:val="20"/>
                <w:lang w:val="es-ES"/>
              </w:rPr>
              <w:t>involucrados</w:t>
            </w:r>
            <w:r w:rsidR="00A22A54" w:rsidRPr="00935C98">
              <w:rPr>
                <w:b/>
                <w:sz w:val="20"/>
                <w:szCs w:val="20"/>
              </w:rPr>
              <w:t>:</w:t>
            </w:r>
          </w:p>
          <w:p w:rsidR="00A22A54" w:rsidRPr="00F8647D" w:rsidRDefault="00342E87" w:rsidP="00034AF7">
            <w:pPr>
              <w:ind w:left="176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  <w:lang w:val="es-ES"/>
              </w:rPr>
              <w:t>España</w:t>
            </w:r>
          </w:p>
        </w:tc>
        <w:tc>
          <w:tcPr>
            <w:tcW w:w="6662" w:type="dxa"/>
            <w:vMerge w:val="restart"/>
            <w:tcBorders>
              <w:top w:val="nil"/>
              <w:bottom w:val="nil"/>
              <w:right w:val="nil"/>
            </w:tcBorders>
          </w:tcPr>
          <w:p w:rsidR="00342E87" w:rsidRPr="00072695" w:rsidRDefault="00342E87" w:rsidP="00072695">
            <w:pPr>
              <w:jc w:val="both"/>
              <w:rPr>
                <w:lang w:val="es-ES"/>
              </w:rPr>
            </w:pPr>
            <w:r w:rsidRPr="00072695">
              <w:rPr>
                <w:lang w:val="es-ES"/>
              </w:rPr>
              <w:t xml:space="preserve">El </w:t>
            </w:r>
            <w:r w:rsidR="002C3AF6">
              <w:rPr>
                <w:lang w:val="es-ES"/>
              </w:rPr>
              <w:t>P</w:t>
            </w:r>
            <w:r w:rsidRPr="00F15B1E">
              <w:rPr>
                <w:lang w:val="es-ES"/>
              </w:rPr>
              <w:t>royecto</w:t>
            </w:r>
            <w:r w:rsidRPr="00072695">
              <w:rPr>
                <w:lang w:val="es-ES"/>
              </w:rPr>
              <w:t xml:space="preserve"> </w:t>
            </w:r>
            <w:r w:rsidRPr="00F15B1E">
              <w:rPr>
                <w:lang w:val="es-ES"/>
              </w:rPr>
              <w:t>tiene</w:t>
            </w:r>
            <w:r w:rsidRPr="00072695">
              <w:rPr>
                <w:lang w:val="es-ES"/>
              </w:rPr>
              <w:t xml:space="preserve"> un </w:t>
            </w:r>
            <w:r w:rsidRPr="00F15B1E">
              <w:rPr>
                <w:lang w:val="es-ES"/>
              </w:rPr>
              <w:t>presupuesto</w:t>
            </w:r>
            <w:r w:rsidRPr="00072695">
              <w:rPr>
                <w:lang w:val="es-ES"/>
              </w:rPr>
              <w:t xml:space="preserve"> </w:t>
            </w:r>
            <w:r w:rsidRPr="00F15B1E">
              <w:rPr>
                <w:lang w:val="es-ES"/>
              </w:rPr>
              <w:t>aproximado</w:t>
            </w:r>
            <w:r w:rsidRPr="00072695">
              <w:rPr>
                <w:lang w:val="es-ES"/>
              </w:rPr>
              <w:t xml:space="preserve"> de 6 millones de Euros y está cofinanciado </w:t>
            </w:r>
            <w:r w:rsidR="00727AF0">
              <w:rPr>
                <w:lang w:val="es-ES"/>
              </w:rPr>
              <w:t xml:space="preserve">por la UE </w:t>
            </w:r>
            <w:r w:rsidRPr="00072695">
              <w:rPr>
                <w:lang w:val="es-ES"/>
              </w:rPr>
              <w:t xml:space="preserve">con </w:t>
            </w:r>
            <w:r w:rsidR="002C3AF6">
              <w:rPr>
                <w:lang w:val="es-ES"/>
              </w:rPr>
              <w:t>má</w:t>
            </w:r>
            <w:r w:rsidR="00072695">
              <w:rPr>
                <w:lang w:val="es-ES"/>
              </w:rPr>
              <w:t xml:space="preserve">s de </w:t>
            </w:r>
            <w:r w:rsidRPr="00072695">
              <w:rPr>
                <w:lang w:val="es-ES"/>
              </w:rPr>
              <w:t>1</w:t>
            </w:r>
            <w:r w:rsidR="00072695">
              <w:rPr>
                <w:lang w:val="es-ES"/>
              </w:rPr>
              <w:t>,</w:t>
            </w:r>
            <w:r w:rsidRPr="00072695">
              <w:rPr>
                <w:lang w:val="es-ES"/>
              </w:rPr>
              <w:t>5 millones de Euros</w:t>
            </w:r>
            <w:r w:rsidR="00727AF0">
              <w:rPr>
                <w:lang w:val="es-ES"/>
              </w:rPr>
              <w:t>;</w:t>
            </w:r>
            <w:r w:rsidRPr="00072695">
              <w:rPr>
                <w:lang w:val="es-ES"/>
              </w:rPr>
              <w:t xml:space="preserve"> </w:t>
            </w:r>
            <w:r w:rsidR="00727AF0">
              <w:rPr>
                <w:lang w:val="es-ES"/>
              </w:rPr>
              <w:t>su periodo de ejecución es 2017-19</w:t>
            </w:r>
            <w:r w:rsidRPr="00072695">
              <w:rPr>
                <w:lang w:val="es-ES"/>
              </w:rPr>
              <w:t xml:space="preserve">. </w:t>
            </w:r>
          </w:p>
          <w:p w:rsidR="00727AF0" w:rsidRDefault="00727AF0" w:rsidP="00727AF0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>El Proyecto incluye tres acciones</w:t>
            </w:r>
            <w:r w:rsidRPr="004F5375">
              <w:rPr>
                <w:lang w:val="es-ES"/>
              </w:rPr>
              <w:t xml:space="preserve"> piloto </w:t>
            </w:r>
            <w:r>
              <w:rPr>
                <w:lang w:val="es-ES"/>
              </w:rPr>
              <w:t xml:space="preserve">en: Canarias, en la conexión Baleares-Península, y en </w:t>
            </w:r>
            <w:proofErr w:type="spellStart"/>
            <w:r>
              <w:rPr>
                <w:lang w:val="es-ES"/>
              </w:rPr>
              <w:t>Pasaia</w:t>
            </w:r>
            <w:proofErr w:type="spellEnd"/>
            <w:r>
              <w:rPr>
                <w:lang w:val="es-ES"/>
              </w:rPr>
              <w:t xml:space="preserve">; ello mediante la dotación de puntos de conexión eléctrica en los muelles de 7 puertos de interés general: SC Tenerife, La Palma, SS de la Gomera, Las Palmas, Palma de Mallorca, Barcelona y </w:t>
            </w:r>
            <w:proofErr w:type="spellStart"/>
            <w:r>
              <w:rPr>
                <w:lang w:val="es-ES"/>
              </w:rPr>
              <w:t>Pasaia</w:t>
            </w:r>
            <w:proofErr w:type="spellEnd"/>
            <w:r>
              <w:rPr>
                <w:lang w:val="es-ES"/>
              </w:rPr>
              <w:t>.</w:t>
            </w:r>
          </w:p>
          <w:p w:rsidR="00727AF0" w:rsidRPr="004F5375" w:rsidRDefault="00727AF0" w:rsidP="00727AF0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>En paralelo se</w:t>
            </w:r>
            <w:r>
              <w:rPr>
                <w:lang w:val="es-ES"/>
              </w:rPr>
              <w:t>rá</w:t>
            </w:r>
            <w:r>
              <w:rPr>
                <w:lang w:val="es-ES"/>
              </w:rPr>
              <w:t xml:space="preserve"> adapta</w:t>
            </w:r>
            <w:r>
              <w:rPr>
                <w:lang w:val="es-ES"/>
              </w:rPr>
              <w:t xml:space="preserve">dos para poder tomar suministro eléctrico de la red </w:t>
            </w:r>
            <w:r w:rsidR="002B6180">
              <w:rPr>
                <w:lang w:val="es-ES"/>
              </w:rPr>
              <w:t>unos 10 buques de las flotas</w:t>
            </w:r>
            <w:r>
              <w:rPr>
                <w:lang w:val="es-ES"/>
              </w:rPr>
              <w:t xml:space="preserve"> de las compañías navieras </w:t>
            </w:r>
            <w:r w:rsidRPr="004F5375">
              <w:rPr>
                <w:lang w:val="es-ES"/>
              </w:rPr>
              <w:t xml:space="preserve">Fred </w:t>
            </w:r>
            <w:proofErr w:type="spellStart"/>
            <w:r w:rsidRPr="004F5375">
              <w:rPr>
                <w:lang w:val="es-ES"/>
              </w:rPr>
              <w:t>Olsen</w:t>
            </w:r>
            <w:proofErr w:type="spellEnd"/>
            <w:r w:rsidRPr="004F5375">
              <w:rPr>
                <w:lang w:val="es-ES"/>
              </w:rPr>
              <w:t xml:space="preserve">, </w:t>
            </w:r>
            <w:r w:rsidR="002B6180">
              <w:rPr>
                <w:lang w:val="es-ES"/>
              </w:rPr>
              <w:t>Acciona-</w:t>
            </w:r>
            <w:proofErr w:type="spellStart"/>
            <w:r w:rsidR="002B6180">
              <w:rPr>
                <w:lang w:val="es-ES"/>
              </w:rPr>
              <w:t>Trasmediterranea</w:t>
            </w:r>
            <w:proofErr w:type="spellEnd"/>
            <w:r w:rsidR="002B6180">
              <w:rPr>
                <w:lang w:val="es-ES"/>
              </w:rPr>
              <w:t xml:space="preserve"> y UECC</w:t>
            </w:r>
            <w:r>
              <w:rPr>
                <w:lang w:val="es-ES"/>
              </w:rPr>
              <w:t xml:space="preserve">. </w:t>
            </w:r>
          </w:p>
          <w:p w:rsidR="00342E87" w:rsidRPr="00342E87" w:rsidRDefault="002B6180" w:rsidP="00034AF7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="00342E87">
              <w:rPr>
                <w:lang w:val="es-ES"/>
              </w:rPr>
              <w:t xml:space="preserve"> Organismo Públic</w:t>
            </w:r>
            <w:r w:rsidR="00F15B1E">
              <w:rPr>
                <w:lang w:val="es-ES"/>
              </w:rPr>
              <w:t>o</w:t>
            </w:r>
            <w:r w:rsidR="00342E87">
              <w:rPr>
                <w:lang w:val="es-ES"/>
              </w:rPr>
              <w:t xml:space="preserve"> Puertos del Estado (OPPE) </w:t>
            </w:r>
            <w:r>
              <w:rPr>
                <w:lang w:val="es-ES"/>
              </w:rPr>
              <w:t>es el responsable del Proyecto y realizará</w:t>
            </w:r>
            <w:r w:rsidR="00342E87">
              <w:rPr>
                <w:lang w:val="es-ES"/>
              </w:rPr>
              <w:t xml:space="preserve"> un estudio sobre el marco legal actual para identificar las barreras existentes que impiden el desarrollo de esta alternativa a los combustibles fósiles</w:t>
            </w:r>
            <w:r w:rsidR="004433C4">
              <w:rPr>
                <w:lang w:val="es-ES"/>
              </w:rPr>
              <w:t>.</w:t>
            </w:r>
          </w:p>
          <w:p w:rsidR="00A22A54" w:rsidRPr="00F15B1E" w:rsidRDefault="002B6180" w:rsidP="00F15B1E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Proyecto incluye también </w:t>
            </w:r>
            <w:r w:rsidR="004F5375" w:rsidRPr="004F5375">
              <w:rPr>
                <w:lang w:val="es-ES"/>
              </w:rPr>
              <w:t xml:space="preserve">estudios </w:t>
            </w:r>
            <w:r>
              <w:rPr>
                <w:lang w:val="es-ES"/>
              </w:rPr>
              <w:t xml:space="preserve">sobre los beneficios </w:t>
            </w:r>
            <w:r w:rsidR="004433C4">
              <w:rPr>
                <w:lang w:val="es-ES"/>
              </w:rPr>
              <w:t>derivados de</w:t>
            </w:r>
            <w:r>
              <w:rPr>
                <w:lang w:val="es-ES"/>
              </w:rPr>
              <w:t xml:space="preserve"> la reducción de las emisiones y el ruido en las ciudades,</w:t>
            </w:r>
            <w:r w:rsidR="004433C4">
              <w:rPr>
                <w:lang w:val="es-ES"/>
              </w:rPr>
              <w:t xml:space="preserve"> así como sobre los </w:t>
            </w:r>
            <w:r w:rsidR="000D5E53">
              <w:rPr>
                <w:lang w:val="es-ES"/>
              </w:rPr>
              <w:t xml:space="preserve">posibles </w:t>
            </w:r>
            <w:r w:rsidR="004433C4">
              <w:rPr>
                <w:lang w:val="es-ES"/>
              </w:rPr>
              <w:t xml:space="preserve">servicios auxiliares a la </w:t>
            </w:r>
            <w:r w:rsidR="004F5375" w:rsidRPr="004F5375">
              <w:rPr>
                <w:lang w:val="es-ES"/>
              </w:rPr>
              <w:t>regulaci</w:t>
            </w:r>
            <w:r w:rsidR="004F5375">
              <w:rPr>
                <w:lang w:val="es-ES"/>
              </w:rPr>
              <w:t>ón</w:t>
            </w:r>
            <w:r w:rsidR="004433C4">
              <w:rPr>
                <w:lang w:val="es-ES"/>
              </w:rPr>
              <w:t xml:space="preserve"> del sistema eléctrico. Estos estudios son realizados por la</w:t>
            </w:r>
            <w:r w:rsidR="00F15B1E">
              <w:rPr>
                <w:lang w:val="es-ES"/>
              </w:rPr>
              <w:t xml:space="preserve"> E.T.S. de Ingenieros Industriales</w:t>
            </w:r>
            <w:r w:rsidR="004433C4">
              <w:rPr>
                <w:lang w:val="es-ES"/>
              </w:rPr>
              <w:t xml:space="preserve"> y </w:t>
            </w:r>
            <w:r w:rsidR="00F15B1E">
              <w:rPr>
                <w:lang w:val="es-ES"/>
              </w:rPr>
              <w:t xml:space="preserve">Centro de Automática y Robótica (CAR) de la UPM y </w:t>
            </w:r>
            <w:r w:rsidR="004433C4">
              <w:rPr>
                <w:lang w:val="es-ES"/>
              </w:rPr>
              <w:t xml:space="preserve">del </w:t>
            </w:r>
            <w:r w:rsidR="00F15B1E">
              <w:rPr>
                <w:lang w:val="es-ES"/>
              </w:rPr>
              <w:t>CSIC,</w:t>
            </w:r>
            <w:r w:rsidR="004433C4">
              <w:rPr>
                <w:lang w:val="es-ES"/>
              </w:rPr>
              <w:t xml:space="preserve"> las </w:t>
            </w:r>
            <w:r w:rsidR="00F15B1E">
              <w:rPr>
                <w:lang w:val="es-ES"/>
              </w:rPr>
              <w:t>Universidad</w:t>
            </w:r>
            <w:r w:rsidR="004433C4">
              <w:rPr>
                <w:lang w:val="es-ES"/>
              </w:rPr>
              <w:t>es</w:t>
            </w:r>
            <w:r w:rsidR="00F15B1E">
              <w:rPr>
                <w:lang w:val="es-ES"/>
              </w:rPr>
              <w:t xml:space="preserve"> de Cádiz (UCA)</w:t>
            </w:r>
            <w:r w:rsidR="004433C4">
              <w:rPr>
                <w:lang w:val="es-ES"/>
              </w:rPr>
              <w:t xml:space="preserve"> y </w:t>
            </w:r>
            <w:r w:rsidR="00F15B1E">
              <w:rPr>
                <w:lang w:val="es-ES"/>
              </w:rPr>
              <w:t>de Las Palmas de Gran Canaria (ULPGC)</w:t>
            </w:r>
            <w:r w:rsidR="004433C4">
              <w:rPr>
                <w:lang w:val="es-ES"/>
              </w:rPr>
              <w:t>. Las consultoras:</w:t>
            </w:r>
            <w:r w:rsidR="00F15B1E">
              <w:rPr>
                <w:lang w:val="es-ES"/>
              </w:rPr>
              <w:t xml:space="preserve"> </w:t>
            </w:r>
            <w:proofErr w:type="spellStart"/>
            <w:r w:rsidR="00F15B1E" w:rsidRPr="00F15B1E">
              <w:rPr>
                <w:lang w:val="es-ES"/>
              </w:rPr>
              <w:t>Inova</w:t>
            </w:r>
            <w:proofErr w:type="spellEnd"/>
            <w:r w:rsidR="00F15B1E" w:rsidRPr="00F15B1E">
              <w:rPr>
                <w:lang w:val="es-ES"/>
              </w:rPr>
              <w:t xml:space="preserve">, </w:t>
            </w:r>
            <w:proofErr w:type="spellStart"/>
            <w:r w:rsidR="00F15B1E" w:rsidRPr="00F15B1E">
              <w:rPr>
                <w:lang w:val="es-ES"/>
              </w:rPr>
              <w:t>Ghenova</w:t>
            </w:r>
            <w:proofErr w:type="spellEnd"/>
            <w:r w:rsidR="004433C4">
              <w:rPr>
                <w:lang w:val="es-ES"/>
              </w:rPr>
              <w:t xml:space="preserve"> y</w:t>
            </w:r>
            <w:r w:rsidR="00F15B1E" w:rsidRPr="00F15B1E">
              <w:rPr>
                <w:lang w:val="es-ES"/>
              </w:rPr>
              <w:t xml:space="preserve"> </w:t>
            </w:r>
            <w:proofErr w:type="spellStart"/>
            <w:r w:rsidR="00F15B1E" w:rsidRPr="00F15B1E">
              <w:rPr>
                <w:lang w:val="es-ES"/>
              </w:rPr>
              <w:t>Seaplace</w:t>
            </w:r>
            <w:proofErr w:type="spellEnd"/>
            <w:r w:rsidR="00F15B1E" w:rsidRPr="00F15B1E">
              <w:rPr>
                <w:lang w:val="es-ES"/>
              </w:rPr>
              <w:t xml:space="preserve"> </w:t>
            </w:r>
            <w:r w:rsidR="004433C4">
              <w:rPr>
                <w:lang w:val="es-ES"/>
              </w:rPr>
              <w:t xml:space="preserve">identificarán </w:t>
            </w:r>
            <w:r w:rsidR="003E0FB9">
              <w:rPr>
                <w:lang w:val="es-ES"/>
              </w:rPr>
              <w:t>localizaciones</w:t>
            </w:r>
            <w:r w:rsidR="004433C4">
              <w:rPr>
                <w:lang w:val="es-ES"/>
              </w:rPr>
              <w:t xml:space="preserve"> para nuevos desarrollos </w:t>
            </w:r>
            <w:r w:rsidR="00F15B1E">
              <w:rPr>
                <w:lang w:val="es-ES"/>
              </w:rPr>
              <w:t xml:space="preserve">y </w:t>
            </w:r>
            <w:r w:rsidR="004433C4">
              <w:rPr>
                <w:lang w:val="es-ES"/>
              </w:rPr>
              <w:t xml:space="preserve">Marine </w:t>
            </w:r>
            <w:proofErr w:type="spellStart"/>
            <w:r w:rsidR="004433C4">
              <w:rPr>
                <w:lang w:val="es-ES"/>
              </w:rPr>
              <w:t>Traffic</w:t>
            </w:r>
            <w:proofErr w:type="spellEnd"/>
            <w:r w:rsidR="004433C4">
              <w:rPr>
                <w:lang w:val="es-ES"/>
              </w:rPr>
              <w:t xml:space="preserve"> contribuye a la diseminación de los resultados del Proyecto</w:t>
            </w:r>
          </w:p>
        </w:tc>
      </w:tr>
      <w:tr w:rsidR="00A22A54" w:rsidRPr="00F8647D" w:rsidTr="00072695">
        <w:trPr>
          <w:trHeight w:val="864"/>
        </w:trPr>
        <w:tc>
          <w:tcPr>
            <w:tcW w:w="3119" w:type="dxa"/>
            <w:vAlign w:val="center"/>
          </w:tcPr>
          <w:p w:rsidR="00A22A54" w:rsidRPr="00342E87" w:rsidRDefault="00342E87" w:rsidP="00034AF7">
            <w:pPr>
              <w:rPr>
                <w:b/>
                <w:sz w:val="20"/>
                <w:szCs w:val="20"/>
                <w:lang w:val="es-ES"/>
              </w:rPr>
            </w:pPr>
            <w:r w:rsidRPr="00342E87">
              <w:rPr>
                <w:b/>
                <w:sz w:val="20"/>
                <w:szCs w:val="20"/>
                <w:lang w:val="es-ES"/>
              </w:rPr>
              <w:t>Calendario de implementación</w:t>
            </w:r>
            <w:r w:rsidR="00A22A54" w:rsidRPr="00342E87">
              <w:rPr>
                <w:b/>
                <w:sz w:val="20"/>
                <w:szCs w:val="20"/>
                <w:lang w:val="es-ES"/>
              </w:rPr>
              <w:t>:</w:t>
            </w:r>
          </w:p>
          <w:p w:rsidR="00A22A54" w:rsidRPr="00342E87" w:rsidRDefault="00342E87" w:rsidP="00034AF7">
            <w:pPr>
              <w:ind w:left="176"/>
              <w:rPr>
                <w:sz w:val="20"/>
                <w:szCs w:val="20"/>
                <w:lang w:val="es-ES"/>
              </w:rPr>
            </w:pPr>
            <w:r w:rsidRPr="00342E87">
              <w:rPr>
                <w:sz w:val="20"/>
                <w:szCs w:val="20"/>
                <w:lang w:val="es-ES"/>
              </w:rPr>
              <w:t>Comienzo</w:t>
            </w:r>
            <w:r w:rsidR="00A22A54" w:rsidRPr="00342E87">
              <w:rPr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Noviembre</w:t>
            </w:r>
            <w:r w:rsidR="00A22A54" w:rsidRPr="00342E87">
              <w:rPr>
                <w:sz w:val="20"/>
                <w:szCs w:val="20"/>
                <w:lang w:val="es-ES"/>
              </w:rPr>
              <w:t xml:space="preserve"> 2016</w:t>
            </w:r>
          </w:p>
          <w:p w:rsidR="00A22A54" w:rsidRPr="00342E87" w:rsidRDefault="00342E87" w:rsidP="00342E87">
            <w:pPr>
              <w:ind w:left="176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</w:t>
            </w:r>
            <w:r w:rsidR="00A22A54" w:rsidRPr="00342E87">
              <w:rPr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Diciembre</w:t>
            </w:r>
            <w:r w:rsidR="00A22A54" w:rsidRPr="00342E87">
              <w:rPr>
                <w:sz w:val="20"/>
                <w:szCs w:val="20"/>
                <w:lang w:val="es-ES"/>
              </w:rPr>
              <w:t xml:space="preserve"> 2019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A22A54" w:rsidRPr="00935C98" w:rsidRDefault="00A22A54" w:rsidP="00034AF7">
            <w:pPr>
              <w:rPr>
                <w:sz w:val="22"/>
                <w:szCs w:val="22"/>
                <w:lang w:val="es-ES"/>
              </w:rPr>
            </w:pPr>
          </w:p>
        </w:tc>
      </w:tr>
      <w:tr w:rsidR="00A22A54" w:rsidRPr="00040481" w:rsidTr="00072695">
        <w:trPr>
          <w:trHeight w:val="1699"/>
        </w:trPr>
        <w:tc>
          <w:tcPr>
            <w:tcW w:w="3119" w:type="dxa"/>
            <w:vAlign w:val="center"/>
          </w:tcPr>
          <w:p w:rsidR="00A22A54" w:rsidRPr="00342E87" w:rsidRDefault="00342E87" w:rsidP="00034AF7">
            <w:pPr>
              <w:rPr>
                <w:b/>
                <w:sz w:val="20"/>
                <w:szCs w:val="20"/>
                <w:lang w:val="es-ES"/>
              </w:rPr>
            </w:pPr>
            <w:r w:rsidRPr="00342E87">
              <w:rPr>
                <w:b/>
                <w:sz w:val="20"/>
                <w:szCs w:val="20"/>
                <w:lang w:val="es-ES"/>
              </w:rPr>
              <w:t>Presupuesto</w:t>
            </w:r>
            <w:r w:rsidR="00A22A54" w:rsidRPr="00342E87">
              <w:rPr>
                <w:b/>
                <w:sz w:val="20"/>
                <w:szCs w:val="20"/>
                <w:lang w:val="es-ES"/>
              </w:rPr>
              <w:t>:</w:t>
            </w:r>
          </w:p>
          <w:p w:rsidR="00A22A54" w:rsidRPr="00342E87" w:rsidRDefault="00342E87" w:rsidP="00034AF7">
            <w:pPr>
              <w:ind w:left="176"/>
              <w:rPr>
                <w:sz w:val="20"/>
                <w:szCs w:val="20"/>
                <w:lang w:val="es-ES"/>
              </w:rPr>
            </w:pPr>
            <w:r w:rsidRPr="00342E87">
              <w:rPr>
                <w:sz w:val="20"/>
                <w:szCs w:val="20"/>
                <w:lang w:val="es-ES"/>
              </w:rPr>
              <w:t>Coste total estimado de la acci</w:t>
            </w:r>
            <w:r>
              <w:rPr>
                <w:sz w:val="20"/>
                <w:szCs w:val="20"/>
                <w:lang w:val="es-ES"/>
              </w:rPr>
              <w:t>ón</w:t>
            </w:r>
            <w:r w:rsidR="00A22A54" w:rsidRPr="00342E87">
              <w:rPr>
                <w:sz w:val="20"/>
                <w:szCs w:val="20"/>
                <w:lang w:val="es-ES"/>
              </w:rPr>
              <w:t>: €6</w:t>
            </w:r>
            <w:r w:rsidR="00072695">
              <w:rPr>
                <w:sz w:val="20"/>
                <w:szCs w:val="20"/>
                <w:lang w:val="es-ES"/>
              </w:rPr>
              <w:t>.</w:t>
            </w:r>
            <w:r w:rsidR="00A22A54" w:rsidRPr="00342E87">
              <w:rPr>
                <w:sz w:val="20"/>
                <w:szCs w:val="20"/>
                <w:lang w:val="es-ES"/>
              </w:rPr>
              <w:t>206</w:t>
            </w:r>
            <w:r w:rsidR="00072695">
              <w:rPr>
                <w:sz w:val="20"/>
                <w:szCs w:val="20"/>
                <w:lang w:val="es-ES"/>
              </w:rPr>
              <w:t>.</w:t>
            </w:r>
            <w:r w:rsidR="00A22A54" w:rsidRPr="00342E87">
              <w:rPr>
                <w:sz w:val="20"/>
                <w:szCs w:val="20"/>
                <w:lang w:val="es-ES"/>
              </w:rPr>
              <w:t>574</w:t>
            </w:r>
          </w:p>
          <w:p w:rsidR="00A22A54" w:rsidRPr="00342E87" w:rsidRDefault="00342E87" w:rsidP="00034AF7">
            <w:pPr>
              <w:ind w:left="176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Contribución Máxima de la UE</w:t>
            </w:r>
            <w:r w:rsidR="00A22A54" w:rsidRPr="00342E87">
              <w:rPr>
                <w:sz w:val="20"/>
                <w:szCs w:val="20"/>
                <w:lang w:val="es-ES"/>
              </w:rPr>
              <w:t>:</w:t>
            </w:r>
          </w:p>
          <w:p w:rsidR="00A22A54" w:rsidRPr="00072695" w:rsidRDefault="00A22A54" w:rsidP="00034AF7">
            <w:pPr>
              <w:ind w:left="176"/>
              <w:rPr>
                <w:sz w:val="20"/>
                <w:szCs w:val="20"/>
                <w:lang w:val="es-ES"/>
              </w:rPr>
            </w:pPr>
            <w:r w:rsidRPr="00072695">
              <w:rPr>
                <w:sz w:val="20"/>
                <w:szCs w:val="20"/>
                <w:lang w:val="es-ES"/>
              </w:rPr>
              <w:t>€1</w:t>
            </w:r>
            <w:r w:rsidR="00072695">
              <w:rPr>
                <w:sz w:val="20"/>
                <w:szCs w:val="20"/>
                <w:lang w:val="es-ES"/>
              </w:rPr>
              <w:t>.</w:t>
            </w:r>
            <w:r w:rsidRPr="00072695">
              <w:rPr>
                <w:sz w:val="20"/>
                <w:szCs w:val="20"/>
                <w:lang w:val="es-ES"/>
              </w:rPr>
              <w:t>641</w:t>
            </w:r>
            <w:r w:rsidR="00072695">
              <w:rPr>
                <w:sz w:val="20"/>
                <w:szCs w:val="20"/>
                <w:lang w:val="es-ES"/>
              </w:rPr>
              <w:t>.</w:t>
            </w:r>
            <w:r w:rsidRPr="00072695">
              <w:rPr>
                <w:sz w:val="20"/>
                <w:szCs w:val="20"/>
                <w:lang w:val="es-ES"/>
              </w:rPr>
              <w:t>815</w:t>
            </w:r>
          </w:p>
          <w:p w:rsidR="00A22A54" w:rsidRPr="00342E87" w:rsidRDefault="00342E87" w:rsidP="00072695">
            <w:pPr>
              <w:ind w:left="176"/>
              <w:rPr>
                <w:sz w:val="20"/>
                <w:szCs w:val="20"/>
                <w:lang w:val="es-ES"/>
              </w:rPr>
            </w:pPr>
            <w:r w:rsidRPr="00342E87">
              <w:rPr>
                <w:sz w:val="20"/>
                <w:szCs w:val="20"/>
                <w:lang w:val="es-ES"/>
              </w:rPr>
              <w:t>Porcentaje de apoyo de la UE</w:t>
            </w:r>
            <w:r w:rsidR="00A22A54" w:rsidRPr="00342E87">
              <w:rPr>
                <w:sz w:val="20"/>
                <w:szCs w:val="20"/>
                <w:lang w:val="es-ES"/>
              </w:rPr>
              <w:t>: 26</w:t>
            </w:r>
            <w:r w:rsidR="00072695">
              <w:rPr>
                <w:sz w:val="20"/>
                <w:szCs w:val="20"/>
                <w:lang w:val="es-ES"/>
              </w:rPr>
              <w:t>,</w:t>
            </w:r>
            <w:r w:rsidR="00A22A54" w:rsidRPr="00342E87">
              <w:rPr>
                <w:sz w:val="20"/>
                <w:szCs w:val="20"/>
                <w:lang w:val="es-ES"/>
              </w:rPr>
              <w:t>46%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A22A54" w:rsidRPr="00342E87" w:rsidRDefault="00A22A54" w:rsidP="00034AF7">
            <w:pPr>
              <w:rPr>
                <w:sz w:val="22"/>
                <w:szCs w:val="22"/>
                <w:lang w:val="es-ES"/>
              </w:rPr>
            </w:pPr>
          </w:p>
        </w:tc>
      </w:tr>
      <w:tr w:rsidR="00A22A54" w:rsidRPr="00F8647D" w:rsidTr="00072695">
        <w:trPr>
          <w:trHeight w:val="1086"/>
        </w:trPr>
        <w:tc>
          <w:tcPr>
            <w:tcW w:w="3119" w:type="dxa"/>
            <w:vAlign w:val="center"/>
          </w:tcPr>
          <w:p w:rsidR="00A22A54" w:rsidRPr="00935C98" w:rsidRDefault="00342E87" w:rsidP="00034AF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Coordinador del proyecto</w:t>
            </w:r>
            <w:r w:rsidR="00A22A54" w:rsidRPr="00935C98">
              <w:rPr>
                <w:b/>
                <w:sz w:val="20"/>
                <w:szCs w:val="20"/>
                <w:lang w:val="es-ES"/>
              </w:rPr>
              <w:t>:</w:t>
            </w:r>
          </w:p>
          <w:p w:rsidR="00A22A54" w:rsidRPr="00852DDD" w:rsidRDefault="00A22A54" w:rsidP="00034AF7">
            <w:pPr>
              <w:ind w:left="176"/>
              <w:rPr>
                <w:sz w:val="20"/>
                <w:szCs w:val="20"/>
                <w:lang w:val="es-ES"/>
              </w:rPr>
            </w:pPr>
            <w:r w:rsidRPr="00852DDD">
              <w:rPr>
                <w:sz w:val="20"/>
                <w:szCs w:val="20"/>
                <w:lang w:val="es-ES"/>
              </w:rPr>
              <w:t>Organismo Público Puertos del Estado</w:t>
            </w:r>
          </w:p>
          <w:p w:rsidR="00A22A54" w:rsidRPr="00F8647D" w:rsidRDefault="00C264E0" w:rsidP="008A69CE">
            <w:pPr>
              <w:ind w:left="34"/>
              <w:rPr>
                <w:sz w:val="20"/>
                <w:szCs w:val="20"/>
                <w:lang w:val="es-ES"/>
              </w:rPr>
            </w:pPr>
            <w:hyperlink r:id="rId11" w:history="1">
              <w:r w:rsidR="00A22A54" w:rsidRPr="00120B90">
                <w:rPr>
                  <w:rStyle w:val="Hipervnculo"/>
                  <w:sz w:val="20"/>
                  <w:szCs w:val="20"/>
                  <w:lang w:val="es-ES"/>
                </w:rPr>
                <w:t>www.puertos.es</w:t>
              </w:r>
            </w:hyperlink>
            <w:r w:rsidR="00A22A54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A22A54" w:rsidRPr="00935C98" w:rsidRDefault="00A22A54" w:rsidP="00034AF7">
            <w:pPr>
              <w:rPr>
                <w:sz w:val="22"/>
                <w:szCs w:val="22"/>
                <w:lang w:val="es-ES"/>
              </w:rPr>
            </w:pPr>
          </w:p>
        </w:tc>
      </w:tr>
      <w:tr w:rsidR="00A22A54" w:rsidRPr="00040481" w:rsidTr="00072695">
        <w:trPr>
          <w:trHeight w:val="3506"/>
        </w:trPr>
        <w:tc>
          <w:tcPr>
            <w:tcW w:w="3119" w:type="dxa"/>
          </w:tcPr>
          <w:p w:rsidR="00A22A54" w:rsidRPr="00072695" w:rsidRDefault="00342E87" w:rsidP="00034AF7">
            <w:pPr>
              <w:spacing w:before="60"/>
              <w:rPr>
                <w:b/>
                <w:sz w:val="20"/>
                <w:szCs w:val="20"/>
                <w:lang w:val="es-ES"/>
              </w:rPr>
            </w:pPr>
            <w:r w:rsidRPr="00072695">
              <w:rPr>
                <w:b/>
                <w:sz w:val="20"/>
                <w:szCs w:val="20"/>
                <w:lang w:val="es-ES"/>
              </w:rPr>
              <w:t>Información adicional</w:t>
            </w:r>
            <w:r w:rsidR="00A22A54" w:rsidRPr="00072695">
              <w:rPr>
                <w:b/>
                <w:sz w:val="20"/>
                <w:szCs w:val="20"/>
                <w:lang w:val="es-ES"/>
              </w:rPr>
              <w:t>:</w:t>
            </w:r>
          </w:p>
          <w:p w:rsidR="00A22A54" w:rsidRPr="00072695" w:rsidRDefault="00342E87" w:rsidP="008A69CE">
            <w:pPr>
              <w:spacing w:before="60"/>
              <w:ind w:left="176"/>
              <w:rPr>
                <w:i/>
                <w:sz w:val="20"/>
                <w:szCs w:val="20"/>
                <w:lang w:val="es-ES"/>
              </w:rPr>
            </w:pPr>
            <w:r w:rsidRPr="00072695">
              <w:rPr>
                <w:i/>
                <w:sz w:val="20"/>
                <w:szCs w:val="20"/>
                <w:lang w:val="es-ES"/>
              </w:rPr>
              <w:t>Comisión Europea</w:t>
            </w:r>
          </w:p>
          <w:p w:rsidR="00A22A54" w:rsidRPr="00072695" w:rsidRDefault="00C264E0" w:rsidP="00034AF7">
            <w:pPr>
              <w:ind w:left="34"/>
              <w:rPr>
                <w:sz w:val="20"/>
                <w:szCs w:val="20"/>
                <w:lang w:val="es-ES"/>
              </w:rPr>
            </w:pPr>
            <w:hyperlink r:id="rId12" w:history="1">
              <w:r w:rsidR="00A22A54" w:rsidRPr="00072695">
                <w:rPr>
                  <w:rStyle w:val="Hipervnculo"/>
                  <w:sz w:val="20"/>
                  <w:szCs w:val="20"/>
                  <w:lang w:val="es-ES"/>
                </w:rPr>
                <w:t>https://ec.europa.eu/transport/</w:t>
              </w:r>
            </w:hyperlink>
            <w:r w:rsidR="00A22A54" w:rsidRPr="00072695">
              <w:rPr>
                <w:sz w:val="20"/>
                <w:szCs w:val="20"/>
                <w:lang w:val="es-ES"/>
              </w:rPr>
              <w:t xml:space="preserve"> </w:t>
            </w:r>
          </w:p>
          <w:p w:rsidR="00A22A54" w:rsidRPr="00935C98" w:rsidRDefault="00A22A54" w:rsidP="008A69CE">
            <w:pPr>
              <w:spacing w:before="60"/>
              <w:ind w:left="176"/>
              <w:rPr>
                <w:i/>
                <w:sz w:val="20"/>
                <w:szCs w:val="20"/>
                <w:lang w:val="en-GB"/>
              </w:rPr>
            </w:pPr>
            <w:r w:rsidRPr="00935C98">
              <w:rPr>
                <w:i/>
                <w:sz w:val="20"/>
                <w:szCs w:val="20"/>
                <w:lang w:val="en-GB"/>
              </w:rPr>
              <w:t>Innovation and Networks Executive Agency (INEA)</w:t>
            </w:r>
          </w:p>
          <w:p w:rsidR="00A22A54" w:rsidRPr="00A22A54" w:rsidRDefault="00C264E0" w:rsidP="00034AF7">
            <w:pPr>
              <w:ind w:left="34"/>
              <w:rPr>
                <w:sz w:val="20"/>
                <w:szCs w:val="20"/>
                <w:lang w:val="en-GB"/>
              </w:rPr>
            </w:pPr>
            <w:hyperlink r:id="rId13" w:history="1">
              <w:r w:rsidR="00A22A54" w:rsidRPr="00A22A54">
                <w:rPr>
                  <w:rStyle w:val="Hipervnculo"/>
                  <w:sz w:val="20"/>
                  <w:szCs w:val="20"/>
                  <w:lang w:val="en-GB"/>
                </w:rPr>
                <w:t>http://ec.europa.eu/inea/</w:t>
              </w:r>
            </w:hyperlink>
          </w:p>
          <w:p w:rsidR="00A22A54" w:rsidRPr="00072695" w:rsidRDefault="00342E87" w:rsidP="008A69CE">
            <w:pPr>
              <w:spacing w:before="60"/>
              <w:ind w:left="176"/>
              <w:rPr>
                <w:i/>
                <w:sz w:val="20"/>
                <w:szCs w:val="20"/>
                <w:lang w:val="es-ES"/>
              </w:rPr>
            </w:pPr>
            <w:r w:rsidRPr="00072695">
              <w:rPr>
                <w:i/>
                <w:sz w:val="20"/>
                <w:szCs w:val="20"/>
                <w:lang w:val="es-ES"/>
              </w:rPr>
              <w:t xml:space="preserve">Ficha técnica de </w:t>
            </w:r>
            <w:r w:rsidR="00A22A54" w:rsidRPr="00072695">
              <w:rPr>
                <w:i/>
                <w:sz w:val="20"/>
                <w:szCs w:val="20"/>
                <w:lang w:val="es-ES"/>
              </w:rPr>
              <w:t>INEA:</w:t>
            </w:r>
          </w:p>
          <w:p w:rsidR="00A22A54" w:rsidRPr="00072695" w:rsidRDefault="00C264E0" w:rsidP="00034AF7">
            <w:pPr>
              <w:ind w:left="34"/>
              <w:rPr>
                <w:sz w:val="20"/>
                <w:szCs w:val="20"/>
                <w:lang w:val="es-ES"/>
              </w:rPr>
            </w:pPr>
            <w:hyperlink r:id="rId14" w:history="1">
              <w:r w:rsidR="00A22A54" w:rsidRPr="00072695">
                <w:rPr>
                  <w:rStyle w:val="Hipervnculo"/>
                  <w:sz w:val="20"/>
                  <w:szCs w:val="20"/>
                  <w:lang w:val="es-ES"/>
                </w:rPr>
                <w:t>http://ec.europa.eu/inea/sites/inea/files/fiche_2015-eu-tm-0417-s_final.pdf</w:t>
              </w:r>
            </w:hyperlink>
            <w:r w:rsidR="00A22A54" w:rsidRPr="00072695">
              <w:rPr>
                <w:sz w:val="20"/>
                <w:szCs w:val="20"/>
                <w:lang w:val="es-ES"/>
              </w:rPr>
              <w:t xml:space="preserve"> </w:t>
            </w:r>
          </w:p>
          <w:p w:rsidR="003F75A5" w:rsidRDefault="003F75A5" w:rsidP="008A69CE">
            <w:pPr>
              <w:spacing w:before="60"/>
              <w:ind w:left="176"/>
              <w:rPr>
                <w:i/>
                <w:sz w:val="20"/>
                <w:szCs w:val="20"/>
                <w:lang w:val="es-ES"/>
              </w:rPr>
            </w:pPr>
          </w:p>
          <w:p w:rsidR="00A22A54" w:rsidRPr="00342E87" w:rsidRDefault="00342E87" w:rsidP="008A69CE">
            <w:pPr>
              <w:spacing w:before="60"/>
              <w:ind w:left="176"/>
              <w:rPr>
                <w:i/>
                <w:sz w:val="20"/>
                <w:szCs w:val="20"/>
                <w:lang w:val="es-ES"/>
              </w:rPr>
            </w:pPr>
            <w:proofErr w:type="spellStart"/>
            <w:r w:rsidRPr="00342E87">
              <w:rPr>
                <w:i/>
                <w:sz w:val="20"/>
                <w:szCs w:val="20"/>
                <w:lang w:val="es-ES"/>
              </w:rPr>
              <w:t>W</w:t>
            </w:r>
            <w:r w:rsidR="00A22A54" w:rsidRPr="00342E87">
              <w:rPr>
                <w:i/>
                <w:sz w:val="20"/>
                <w:szCs w:val="20"/>
                <w:lang w:val="es-ES"/>
              </w:rPr>
              <w:t>ebsite</w:t>
            </w:r>
            <w:proofErr w:type="spellEnd"/>
            <w:r w:rsidRPr="00342E87">
              <w:rPr>
                <w:i/>
                <w:sz w:val="20"/>
                <w:szCs w:val="20"/>
                <w:lang w:val="es-ES"/>
              </w:rPr>
              <w:t xml:space="preserve"> del proyecto</w:t>
            </w:r>
            <w:r w:rsidR="00A22A54" w:rsidRPr="00342E87">
              <w:rPr>
                <w:i/>
                <w:sz w:val="20"/>
                <w:szCs w:val="20"/>
                <w:lang w:val="es-ES"/>
              </w:rPr>
              <w:t>:</w:t>
            </w:r>
          </w:p>
          <w:p w:rsidR="00A22A54" w:rsidRPr="002B6180" w:rsidRDefault="002C3AF6" w:rsidP="00034AF7">
            <w:pPr>
              <w:ind w:left="34"/>
              <w:rPr>
                <w:sz w:val="28"/>
                <w:szCs w:val="28"/>
                <w:lang w:val="es-ES"/>
              </w:rPr>
            </w:pPr>
            <w:hyperlink r:id="rId15" w:history="1">
              <w:r w:rsidRPr="002B6180">
                <w:rPr>
                  <w:rStyle w:val="Hipervnculo"/>
                  <w:sz w:val="28"/>
                  <w:szCs w:val="28"/>
                  <w:lang w:val="es-ES"/>
                </w:rPr>
                <w:t>www.porweratberth.eu</w:t>
              </w:r>
            </w:hyperlink>
            <w:r w:rsidR="00A22A54" w:rsidRPr="002B6180"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vAlign w:val="center"/>
          </w:tcPr>
          <w:p w:rsidR="00A22A54" w:rsidRPr="00342E87" w:rsidRDefault="00A22A54" w:rsidP="00034AF7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F8647D" w:rsidRPr="00342E87" w:rsidRDefault="00F8647D" w:rsidP="003E0FB9">
      <w:pPr>
        <w:spacing w:before="120"/>
        <w:rPr>
          <w:lang w:val="es-ES"/>
        </w:rPr>
      </w:pPr>
    </w:p>
    <w:sectPr w:rsidR="00F8647D" w:rsidRPr="00342E87" w:rsidSect="000726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567" w:right="985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E0" w:rsidRDefault="00C264E0" w:rsidP="00263F19">
      <w:r>
        <w:separator/>
      </w:r>
    </w:p>
  </w:endnote>
  <w:endnote w:type="continuationSeparator" w:id="0">
    <w:p w:rsidR="00C264E0" w:rsidRDefault="00C264E0" w:rsidP="0026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9" w:rsidRDefault="00263F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9" w:rsidRDefault="00263F19" w:rsidP="00EA3E1B">
    <w:pPr>
      <w:pStyle w:val="Piedepgina"/>
      <w:ind w:left="-1276" w:right="-1765"/>
    </w:pPr>
    <w:r>
      <w:rPr>
        <w:noProof/>
        <w:lang w:val="es-ES" w:eastAsia="es-ES"/>
      </w:rPr>
      <w:drawing>
        <wp:inline distT="0" distB="0" distL="0" distR="0" wp14:anchorId="63CF5E77" wp14:editId="2567F404">
          <wp:extent cx="7581900" cy="1276985"/>
          <wp:effectExtent l="0" t="0" r="12700" b="0"/>
          <wp:docPr id="16" name="Picture 3" descr="Macintosh HD:Users:Ash:Dropbox:BENA:psds:FINAL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:Dropbox:BENA:psds:FINAL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9" w:rsidRDefault="00263F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E0" w:rsidRDefault="00C264E0" w:rsidP="00263F19">
      <w:r>
        <w:separator/>
      </w:r>
    </w:p>
  </w:footnote>
  <w:footnote w:type="continuationSeparator" w:id="0">
    <w:p w:rsidR="00C264E0" w:rsidRDefault="00C264E0" w:rsidP="0026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9" w:rsidRDefault="00263F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9" w:rsidRDefault="00263F19" w:rsidP="00EA3E1B">
    <w:pPr>
      <w:pStyle w:val="Encabezado"/>
      <w:ind w:left="-1276" w:right="-1765"/>
    </w:pPr>
    <w:r>
      <w:rPr>
        <w:noProof/>
        <w:lang w:val="es-ES" w:eastAsia="es-ES"/>
      </w:rPr>
      <w:drawing>
        <wp:inline distT="0" distB="0" distL="0" distR="0" wp14:anchorId="1BFC22B6" wp14:editId="32CC546B">
          <wp:extent cx="7568565" cy="2386965"/>
          <wp:effectExtent l="0" t="0" r="635" b="635"/>
          <wp:docPr id="15" name="Picture 2" descr="Macintosh HD:Users:Ash:Dropbox:BENA:psds:FINAL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sh:Dropbox:BENA:psds:FINAL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1" cy="238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9" w:rsidRDefault="00263F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19"/>
    <w:rsid w:val="00007C7C"/>
    <w:rsid w:val="00040481"/>
    <w:rsid w:val="00055154"/>
    <w:rsid w:val="00072695"/>
    <w:rsid w:val="000C0F89"/>
    <w:rsid w:val="000D5E53"/>
    <w:rsid w:val="00121F24"/>
    <w:rsid w:val="001833F5"/>
    <w:rsid w:val="00263F19"/>
    <w:rsid w:val="002B6180"/>
    <w:rsid w:val="002C3AF6"/>
    <w:rsid w:val="00342E87"/>
    <w:rsid w:val="003A7A8E"/>
    <w:rsid w:val="003E0FB9"/>
    <w:rsid w:val="003F75A5"/>
    <w:rsid w:val="004433C4"/>
    <w:rsid w:val="004F5375"/>
    <w:rsid w:val="00507F26"/>
    <w:rsid w:val="005F6088"/>
    <w:rsid w:val="00727AF0"/>
    <w:rsid w:val="00852DDD"/>
    <w:rsid w:val="008A69CE"/>
    <w:rsid w:val="008D26E8"/>
    <w:rsid w:val="00935C98"/>
    <w:rsid w:val="00940778"/>
    <w:rsid w:val="009B3CC0"/>
    <w:rsid w:val="009C5214"/>
    <w:rsid w:val="00A03320"/>
    <w:rsid w:val="00A22A54"/>
    <w:rsid w:val="00BE5313"/>
    <w:rsid w:val="00C264E0"/>
    <w:rsid w:val="00CB669E"/>
    <w:rsid w:val="00CE6116"/>
    <w:rsid w:val="00D57923"/>
    <w:rsid w:val="00EA17B6"/>
    <w:rsid w:val="00EA3E1B"/>
    <w:rsid w:val="00EB4A89"/>
    <w:rsid w:val="00F15B1E"/>
    <w:rsid w:val="00F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E33C4"/>
  <w14:defaultImageDpi w14:val="300"/>
  <w15:docId w15:val="{44F1BDCB-2DA6-46BE-AC7A-C2BA8266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F1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F19"/>
  </w:style>
  <w:style w:type="paragraph" w:styleId="Piedepgina">
    <w:name w:val="footer"/>
    <w:basedOn w:val="Normal"/>
    <w:link w:val="PiedepginaCar"/>
    <w:uiPriority w:val="99"/>
    <w:unhideWhenUsed/>
    <w:rsid w:val="00263F1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F19"/>
  </w:style>
  <w:style w:type="paragraph" w:styleId="Textodeglobo">
    <w:name w:val="Balloon Text"/>
    <w:basedOn w:val="Normal"/>
    <w:link w:val="TextodegloboCar"/>
    <w:uiPriority w:val="99"/>
    <w:semiHidden/>
    <w:unhideWhenUsed/>
    <w:rsid w:val="00263F1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F19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F8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2DDD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C3A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inea/" TargetMode="External"/><Relationship Id="rId13" Type="http://schemas.openxmlformats.org/officeDocument/2006/relationships/hyperlink" Target="http://ec.europa.eu/inea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ec.europa.eu/transport/" TargetMode="External"/><Relationship Id="rId12" Type="http://schemas.openxmlformats.org/officeDocument/2006/relationships/hyperlink" Target="https://ec.europa.eu/transport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puertos.es" TargetMode="External"/><Relationship Id="rId11" Type="http://schemas.openxmlformats.org/officeDocument/2006/relationships/hyperlink" Target="http://www.puertos.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rweratberth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weratberth.es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ec.europa.eu/inea/sites/inea/files/fiche_2015-eu-tm-0417-s_final.pdf" TargetMode="External"/><Relationship Id="rId14" Type="http://schemas.openxmlformats.org/officeDocument/2006/relationships/hyperlink" Target="http://ec.europa.eu/inea/sites/inea/files/fiche_2015-eu-tm-0417-s_final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reuben</dc:creator>
  <cp:lastModifiedBy>Julio de la Cueva</cp:lastModifiedBy>
  <cp:revision>2</cp:revision>
  <cp:lastPrinted>2017-06-27T08:06:00Z</cp:lastPrinted>
  <dcterms:created xsi:type="dcterms:W3CDTF">2017-06-27T08:11:00Z</dcterms:created>
  <dcterms:modified xsi:type="dcterms:W3CDTF">2017-06-27T08:11:00Z</dcterms:modified>
</cp:coreProperties>
</file>